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0B591" w14:textId="33A57037" w:rsidR="00F60D87" w:rsidRDefault="00F60D87" w:rsidP="0004613B">
      <w:pPr>
        <w:spacing w:beforeLines="100" w:before="312" w:afterLines="100" w:after="312"/>
        <w:jc w:val="center"/>
        <w:rPr>
          <w:rFonts w:ascii="宋体" w:eastAsia="宋体" w:hAnsi="宋体"/>
          <w:b/>
          <w:sz w:val="24"/>
          <w:szCs w:val="28"/>
        </w:rPr>
      </w:pPr>
      <w:r w:rsidRPr="0004613B">
        <w:rPr>
          <w:rFonts w:ascii="宋体" w:eastAsia="宋体" w:hAnsi="宋体" w:hint="eastAsia"/>
          <w:b/>
          <w:sz w:val="24"/>
          <w:szCs w:val="28"/>
        </w:rPr>
        <w:t>哈尔滨市呼兰区</w:t>
      </w:r>
      <w:r w:rsidR="00491371" w:rsidRPr="0004613B">
        <w:rPr>
          <w:rFonts w:ascii="宋体" w:eastAsia="宋体" w:hAnsi="宋体" w:hint="eastAsia"/>
          <w:b/>
          <w:sz w:val="24"/>
          <w:szCs w:val="28"/>
        </w:rPr>
        <w:t>兰河、呼兰、建设路街道办事处</w:t>
      </w:r>
      <w:r w:rsidRPr="0004613B">
        <w:rPr>
          <w:rFonts w:ascii="宋体" w:eastAsia="宋体" w:hAnsi="宋体" w:hint="eastAsia"/>
          <w:b/>
          <w:sz w:val="24"/>
          <w:szCs w:val="28"/>
        </w:rPr>
        <w:t>总体规划（2015—2030年）</w:t>
      </w:r>
    </w:p>
    <w:p w14:paraId="6CCECEA3" w14:textId="73ADC6A3" w:rsidR="00F13D6A" w:rsidRPr="0004613B" w:rsidRDefault="00F13D6A" w:rsidP="0004613B">
      <w:pPr>
        <w:spacing w:beforeLines="100" w:before="312" w:afterLines="100" w:after="312"/>
        <w:jc w:val="center"/>
        <w:rPr>
          <w:rFonts w:ascii="宋体" w:eastAsia="宋体" w:hAnsi="宋体" w:hint="eastAsia"/>
          <w:b/>
          <w:sz w:val="24"/>
          <w:szCs w:val="28"/>
        </w:rPr>
      </w:pPr>
      <w:r>
        <w:rPr>
          <w:rFonts w:ascii="宋体" w:eastAsia="宋体" w:hAnsi="宋体" w:hint="eastAsia"/>
          <w:b/>
          <w:sz w:val="24"/>
          <w:szCs w:val="28"/>
        </w:rPr>
        <w:t>（</w:t>
      </w:r>
      <w:r>
        <w:rPr>
          <w:rFonts w:ascii="宋体" w:eastAsia="宋体" w:hAnsi="宋体" w:hint="eastAsia"/>
          <w:b/>
          <w:sz w:val="24"/>
          <w:szCs w:val="28"/>
        </w:rPr>
        <w:t>即</w:t>
      </w:r>
      <w:r>
        <w:rPr>
          <w:rFonts w:ascii="宋体" w:eastAsia="宋体" w:hAnsi="宋体" w:hint="eastAsia"/>
          <w:b/>
          <w:sz w:val="24"/>
          <w:szCs w:val="28"/>
        </w:rPr>
        <w:t>呼兰老城区现</w:t>
      </w:r>
      <w:r>
        <w:rPr>
          <w:rFonts w:ascii="宋体" w:eastAsia="宋体" w:hAnsi="宋体" w:hint="eastAsia"/>
          <w:b/>
          <w:sz w:val="24"/>
          <w:szCs w:val="28"/>
        </w:rPr>
        <w:t>5个街道总体规划</w:t>
      </w:r>
      <w:r>
        <w:rPr>
          <w:rFonts w:ascii="宋体" w:eastAsia="宋体" w:hAnsi="宋体" w:hint="eastAsia"/>
          <w:b/>
          <w:sz w:val="24"/>
          <w:szCs w:val="28"/>
        </w:rPr>
        <w:t>）</w:t>
      </w:r>
    </w:p>
    <w:p w14:paraId="619FCED9" w14:textId="77777777" w:rsidR="00E56065" w:rsidRPr="0004613B" w:rsidRDefault="00E56065"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组织编制单位：呼兰区人民政府</w:t>
      </w:r>
    </w:p>
    <w:p w14:paraId="4ACF4EBF" w14:textId="77777777" w:rsidR="00E56065" w:rsidRPr="0004613B" w:rsidRDefault="00E56065" w:rsidP="0004613B">
      <w:pPr>
        <w:spacing w:line="360" w:lineRule="auto"/>
        <w:ind w:firstLineChars="200" w:firstLine="480"/>
        <w:rPr>
          <w:rFonts w:ascii="宋体" w:eastAsia="宋体" w:hAnsi="宋体"/>
          <w:b/>
          <w:color w:val="FF0000"/>
          <w:sz w:val="24"/>
          <w:szCs w:val="28"/>
        </w:rPr>
      </w:pPr>
      <w:r w:rsidRPr="0004613B">
        <w:rPr>
          <w:rFonts w:ascii="宋体" w:eastAsia="宋体" w:hAnsi="宋体"/>
          <w:color w:val="FF0000"/>
          <w:sz w:val="24"/>
          <w:szCs w:val="28"/>
        </w:rPr>
        <w:t>批复时间：</w:t>
      </w:r>
      <w:r w:rsidRPr="0004613B">
        <w:rPr>
          <w:rFonts w:ascii="宋体" w:eastAsia="宋体" w:hAnsi="宋体" w:hint="eastAsia"/>
          <w:b/>
          <w:color w:val="FF0000"/>
          <w:sz w:val="24"/>
          <w:szCs w:val="28"/>
        </w:rPr>
        <w:t>2017年</w:t>
      </w:r>
      <w:r w:rsidRPr="0004613B">
        <w:rPr>
          <w:rFonts w:ascii="宋体" w:eastAsia="宋体" w:hAnsi="宋体"/>
          <w:b/>
          <w:color w:val="FF0000"/>
          <w:sz w:val="24"/>
          <w:szCs w:val="28"/>
        </w:rPr>
        <w:t>6</w:t>
      </w:r>
      <w:r w:rsidRPr="0004613B">
        <w:rPr>
          <w:rFonts w:ascii="宋体" w:eastAsia="宋体" w:hAnsi="宋体" w:hint="eastAsia"/>
          <w:b/>
          <w:color w:val="FF0000"/>
          <w:sz w:val="24"/>
          <w:szCs w:val="28"/>
        </w:rPr>
        <w:t>月19日</w:t>
      </w:r>
    </w:p>
    <w:p w14:paraId="32873204" w14:textId="77777777" w:rsidR="00C455C8" w:rsidRPr="0004613B" w:rsidRDefault="00F60D87"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1、规划范围：</w:t>
      </w:r>
    </w:p>
    <w:p w14:paraId="6C12153D" w14:textId="77777777" w:rsidR="00C455C8" w:rsidRPr="0004613B" w:rsidRDefault="00491371"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北临长岭街道办事处，南靠呼兰河，东邻双井、腰堡街道办事处，西侧与松北区接壤</w:t>
      </w:r>
      <w:r w:rsidR="00F60D87" w:rsidRPr="0004613B">
        <w:rPr>
          <w:rFonts w:ascii="宋体" w:eastAsia="宋体" w:hAnsi="宋体" w:hint="eastAsia"/>
          <w:sz w:val="24"/>
          <w:szCs w:val="28"/>
        </w:rPr>
        <w:t>，总面积为</w:t>
      </w:r>
      <w:r w:rsidRPr="0004613B">
        <w:rPr>
          <w:rFonts w:ascii="宋体" w:eastAsia="宋体" w:hAnsi="宋体"/>
          <w:sz w:val="24"/>
          <w:szCs w:val="28"/>
        </w:rPr>
        <w:t>32.27</w:t>
      </w:r>
      <w:r w:rsidR="00F60D87" w:rsidRPr="0004613B">
        <w:rPr>
          <w:rFonts w:ascii="宋体" w:eastAsia="宋体" w:hAnsi="宋体" w:hint="eastAsia"/>
          <w:sz w:val="24"/>
          <w:szCs w:val="28"/>
        </w:rPr>
        <w:t>平方公里。</w:t>
      </w:r>
      <w:r w:rsidR="00990139" w:rsidRPr="0004613B">
        <w:rPr>
          <w:rFonts w:ascii="宋体" w:eastAsia="宋体" w:hAnsi="宋体" w:hint="eastAsia"/>
          <w:sz w:val="24"/>
          <w:szCs w:val="28"/>
        </w:rPr>
        <w:t>主城区用地面积为21.41平方公里。</w:t>
      </w:r>
    </w:p>
    <w:p w14:paraId="24E7FDFD" w14:textId="77777777" w:rsidR="005B4929" w:rsidRPr="0004613B" w:rsidRDefault="00F60D87"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2、城</w:t>
      </w:r>
      <w:r w:rsidR="001E1632" w:rsidRPr="0004613B">
        <w:rPr>
          <w:rFonts w:ascii="宋体" w:eastAsia="宋体" w:hAnsi="宋体" w:hint="eastAsia"/>
          <w:sz w:val="24"/>
          <w:szCs w:val="28"/>
        </w:rPr>
        <w:t>市</w:t>
      </w:r>
      <w:r w:rsidRPr="0004613B">
        <w:rPr>
          <w:rFonts w:ascii="宋体" w:eastAsia="宋体" w:hAnsi="宋体" w:hint="eastAsia"/>
          <w:sz w:val="24"/>
          <w:szCs w:val="28"/>
        </w:rPr>
        <w:t>性质：</w:t>
      </w:r>
    </w:p>
    <w:p w14:paraId="2C404843" w14:textId="7307AA93" w:rsidR="00A77937" w:rsidRPr="0004613B" w:rsidRDefault="00990139"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呼兰区的政治、经济、文化中心，省级历史文化名城。哈尔滨市生态宜居区、黑龙江省门户功能区、中国北部健康产业集聚区、东北亚地区重要的商品集散地。</w:t>
      </w:r>
    </w:p>
    <w:p w14:paraId="4D227B53" w14:textId="77777777" w:rsidR="005B4929" w:rsidRPr="0004613B" w:rsidRDefault="00F60D87"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3、城</w:t>
      </w:r>
      <w:r w:rsidR="001E1632" w:rsidRPr="0004613B">
        <w:rPr>
          <w:rFonts w:ascii="宋体" w:eastAsia="宋体" w:hAnsi="宋体" w:hint="eastAsia"/>
          <w:sz w:val="24"/>
          <w:szCs w:val="28"/>
        </w:rPr>
        <w:t>市</w:t>
      </w:r>
      <w:r w:rsidRPr="0004613B">
        <w:rPr>
          <w:rFonts w:ascii="宋体" w:eastAsia="宋体" w:hAnsi="宋体" w:hint="eastAsia"/>
          <w:sz w:val="24"/>
          <w:szCs w:val="28"/>
        </w:rPr>
        <w:t>规模：</w:t>
      </w:r>
    </w:p>
    <w:p w14:paraId="16F83211" w14:textId="4FE01122" w:rsidR="00990139" w:rsidRPr="0004613B" w:rsidRDefault="00F60D87"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人口规模：</w:t>
      </w:r>
      <w:r w:rsidR="00990139" w:rsidRPr="0004613B">
        <w:rPr>
          <w:rFonts w:ascii="宋体" w:eastAsia="宋体" w:hAnsi="宋体" w:hint="eastAsia"/>
          <w:sz w:val="24"/>
          <w:szCs w:val="28"/>
        </w:rPr>
        <w:t>规划期末，该地区城市人口规模达到21.4万人。城镇化水平为96.4%</w:t>
      </w:r>
      <w:r w:rsidR="005B4929" w:rsidRPr="0004613B">
        <w:rPr>
          <w:rFonts w:ascii="宋体" w:eastAsia="宋体" w:hAnsi="宋体" w:hint="eastAsia"/>
          <w:sz w:val="24"/>
          <w:szCs w:val="28"/>
        </w:rPr>
        <w:t>。</w:t>
      </w:r>
    </w:p>
    <w:p w14:paraId="4EF9ACBA" w14:textId="6ED67887" w:rsidR="001E1632" w:rsidRPr="0004613B" w:rsidRDefault="00F60D87"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用地规模：</w:t>
      </w:r>
      <w:r w:rsidR="001E1632" w:rsidRPr="0004613B">
        <w:rPr>
          <w:rFonts w:ascii="宋体" w:eastAsia="宋体" w:hAnsi="宋体" w:hint="eastAsia"/>
          <w:sz w:val="24"/>
          <w:szCs w:val="28"/>
        </w:rPr>
        <w:t>2030年，主城区城市建设用地21.</w:t>
      </w:r>
      <w:r w:rsidR="001E1632" w:rsidRPr="0004613B">
        <w:rPr>
          <w:rFonts w:ascii="宋体" w:eastAsia="宋体" w:hAnsi="宋体"/>
          <w:sz w:val="24"/>
          <w:szCs w:val="28"/>
        </w:rPr>
        <w:t>41</w:t>
      </w:r>
      <w:r w:rsidR="001E1632" w:rsidRPr="0004613B">
        <w:rPr>
          <w:rFonts w:ascii="宋体" w:eastAsia="宋体" w:hAnsi="宋体" w:hint="eastAsia"/>
          <w:sz w:val="24"/>
          <w:szCs w:val="28"/>
        </w:rPr>
        <w:t>平方公里，人均城市建设用地100平方米</w:t>
      </w:r>
      <w:r w:rsidR="005B4929" w:rsidRPr="0004613B">
        <w:rPr>
          <w:rFonts w:ascii="宋体" w:eastAsia="宋体" w:hAnsi="宋体" w:hint="eastAsia"/>
          <w:sz w:val="24"/>
          <w:szCs w:val="28"/>
        </w:rPr>
        <w:t>。</w:t>
      </w:r>
    </w:p>
    <w:p w14:paraId="34DACE9A" w14:textId="77777777" w:rsidR="005B4929" w:rsidRPr="0004613B" w:rsidRDefault="00F60D87"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4、</w:t>
      </w:r>
      <w:r w:rsidR="001E1632" w:rsidRPr="0004613B">
        <w:rPr>
          <w:rFonts w:ascii="宋体" w:eastAsia="宋体" w:hAnsi="宋体" w:hint="eastAsia"/>
          <w:sz w:val="24"/>
          <w:szCs w:val="28"/>
        </w:rPr>
        <w:t>主城区</w:t>
      </w:r>
      <w:r w:rsidRPr="0004613B">
        <w:rPr>
          <w:rFonts w:ascii="宋体" w:eastAsia="宋体" w:hAnsi="宋体" w:hint="eastAsia"/>
          <w:sz w:val="24"/>
          <w:szCs w:val="28"/>
        </w:rPr>
        <w:t>总体规划：</w:t>
      </w:r>
    </w:p>
    <w:p w14:paraId="5238A490" w14:textId="0DEF92BB" w:rsidR="001E1632" w:rsidRPr="0004613B" w:rsidRDefault="005B4929"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（1）</w:t>
      </w:r>
      <w:r w:rsidR="00A77937" w:rsidRPr="0004613B">
        <w:rPr>
          <w:rFonts w:ascii="宋体" w:eastAsia="宋体" w:hAnsi="宋体" w:hint="eastAsia"/>
          <w:sz w:val="24"/>
          <w:szCs w:val="28"/>
        </w:rPr>
        <w:t>规划功能布局：</w:t>
      </w:r>
      <w:r w:rsidR="001E1632" w:rsidRPr="0004613B">
        <w:rPr>
          <w:rFonts w:ascii="宋体" w:eastAsia="宋体" w:hAnsi="宋体" w:hint="eastAsia"/>
          <w:sz w:val="24"/>
          <w:szCs w:val="28"/>
        </w:rPr>
        <w:t>形成可持续发展的“两心、四轴、七片区”的</w:t>
      </w:r>
      <w:r w:rsidR="00A77937" w:rsidRPr="0004613B">
        <w:rPr>
          <w:rFonts w:ascii="宋体" w:eastAsia="宋体" w:hAnsi="宋体" w:hint="eastAsia"/>
          <w:sz w:val="24"/>
          <w:szCs w:val="28"/>
        </w:rPr>
        <w:t>布局</w:t>
      </w:r>
      <w:r w:rsidR="001E1632" w:rsidRPr="0004613B">
        <w:rPr>
          <w:rFonts w:ascii="宋体" w:eastAsia="宋体" w:hAnsi="宋体" w:hint="eastAsia"/>
          <w:sz w:val="24"/>
          <w:szCs w:val="28"/>
        </w:rPr>
        <w:t>结构。</w:t>
      </w:r>
    </w:p>
    <w:p w14:paraId="620E0466" w14:textId="56BBF95A" w:rsidR="001E1632" w:rsidRPr="0004613B" w:rsidRDefault="001E1632"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两心：结合西岗公园及十字街周边商业形成城市商业中心。结合萧红大街以南，景明路两侧文化设施用地形成城市文化中心。</w:t>
      </w:r>
    </w:p>
    <w:p w14:paraId="4ECB9FF6" w14:textId="0459CC70" w:rsidR="001E1632" w:rsidRPr="0004613B" w:rsidRDefault="001E1632"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四轴：东直路、萧红大街、南北大街城市景观轴；向阳路滨水景观轴。</w:t>
      </w:r>
    </w:p>
    <w:p w14:paraId="74C47136" w14:textId="040496E5" w:rsidR="001E1632" w:rsidRPr="0004613B" w:rsidRDefault="001E1632"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七片区：南部宜居生活区；东部及中部生态景观区；北部及东部新兴制造区；外围绿色食品区。</w:t>
      </w:r>
    </w:p>
    <w:p w14:paraId="58ED3FCA" w14:textId="77777777" w:rsidR="005B4929" w:rsidRPr="0004613B" w:rsidRDefault="005B4929"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（2）</w:t>
      </w:r>
      <w:r w:rsidR="00F60D87" w:rsidRPr="0004613B">
        <w:rPr>
          <w:rFonts w:ascii="宋体" w:eastAsia="宋体" w:hAnsi="宋体" w:hint="eastAsia"/>
          <w:sz w:val="24"/>
          <w:szCs w:val="28"/>
        </w:rPr>
        <w:t>居住用地：</w:t>
      </w:r>
      <w:r w:rsidR="001E1632" w:rsidRPr="0004613B">
        <w:rPr>
          <w:rFonts w:ascii="宋体" w:eastAsia="宋体" w:hAnsi="宋体" w:hint="eastAsia"/>
          <w:sz w:val="24"/>
          <w:szCs w:val="28"/>
        </w:rPr>
        <w:t>至2030年，</w:t>
      </w:r>
      <w:r w:rsidR="001E1632" w:rsidRPr="0004613B">
        <w:rPr>
          <w:rFonts w:ascii="宋体" w:eastAsia="宋体" w:hAnsi="宋体"/>
          <w:sz w:val="24"/>
          <w:szCs w:val="28"/>
        </w:rPr>
        <w:t>居住用地达到</w:t>
      </w:r>
      <w:r w:rsidR="001E1632" w:rsidRPr="0004613B">
        <w:rPr>
          <w:rFonts w:ascii="宋体" w:eastAsia="宋体" w:hAnsi="宋体" w:hint="eastAsia"/>
          <w:sz w:val="24"/>
          <w:szCs w:val="28"/>
        </w:rPr>
        <w:t>673.67万平方米</w:t>
      </w:r>
      <w:r w:rsidR="001E1632" w:rsidRPr="0004613B">
        <w:rPr>
          <w:rFonts w:ascii="宋体" w:eastAsia="宋体" w:hAnsi="宋体"/>
          <w:sz w:val="24"/>
          <w:szCs w:val="28"/>
        </w:rPr>
        <w:t>，</w:t>
      </w:r>
      <w:r w:rsidR="001E1632" w:rsidRPr="0004613B">
        <w:rPr>
          <w:rFonts w:ascii="宋体" w:eastAsia="宋体" w:hAnsi="宋体" w:hint="eastAsia"/>
          <w:sz w:val="24"/>
          <w:szCs w:val="28"/>
        </w:rPr>
        <w:t>规划</w:t>
      </w:r>
      <w:r w:rsidR="001E1632" w:rsidRPr="0004613B">
        <w:rPr>
          <w:rFonts w:ascii="宋体" w:eastAsia="宋体" w:hAnsi="宋体"/>
          <w:sz w:val="24"/>
          <w:szCs w:val="28"/>
        </w:rPr>
        <w:t>人均居住用地面积达到</w:t>
      </w:r>
      <w:r w:rsidR="001E1632" w:rsidRPr="0004613B">
        <w:rPr>
          <w:rFonts w:ascii="宋体" w:eastAsia="宋体" w:hAnsi="宋体" w:hint="eastAsia"/>
          <w:sz w:val="24"/>
          <w:szCs w:val="28"/>
        </w:rPr>
        <w:t>31.48</w:t>
      </w:r>
      <w:r w:rsidR="001E1632" w:rsidRPr="0004613B">
        <w:rPr>
          <w:rFonts w:ascii="宋体" w:eastAsia="宋体" w:hAnsi="宋体"/>
          <w:sz w:val="24"/>
          <w:szCs w:val="28"/>
        </w:rPr>
        <w:t>平方米。</w:t>
      </w:r>
      <w:r w:rsidR="001E1632" w:rsidRPr="0004613B">
        <w:rPr>
          <w:rFonts w:ascii="宋体" w:eastAsia="宋体" w:hAnsi="宋体" w:hint="eastAsia"/>
          <w:sz w:val="24"/>
          <w:szCs w:val="28"/>
        </w:rPr>
        <w:t>形成4个居住片区，即北部片区、东直片区、西岗片区、滨水片区，每个居住组团都配有完善的公共服务设施和绿地。</w:t>
      </w:r>
    </w:p>
    <w:p w14:paraId="7DC72270" w14:textId="6DBC58ED" w:rsidR="00A77937" w:rsidRPr="0004613B" w:rsidRDefault="005B4929"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（3）</w:t>
      </w:r>
      <w:r w:rsidR="001E1632" w:rsidRPr="0004613B">
        <w:rPr>
          <w:rFonts w:ascii="宋体" w:eastAsia="宋体" w:hAnsi="宋体" w:hint="eastAsia"/>
          <w:sz w:val="24"/>
          <w:szCs w:val="28"/>
        </w:rPr>
        <w:t>公共管理与公共服务用地</w:t>
      </w:r>
      <w:r w:rsidR="00F60D87" w:rsidRPr="0004613B">
        <w:rPr>
          <w:rFonts w:ascii="宋体" w:eastAsia="宋体" w:hAnsi="宋体" w:hint="eastAsia"/>
          <w:sz w:val="24"/>
          <w:szCs w:val="28"/>
        </w:rPr>
        <w:t>：</w:t>
      </w:r>
      <w:r w:rsidR="001E1632" w:rsidRPr="0004613B">
        <w:rPr>
          <w:rFonts w:ascii="宋体" w:eastAsia="宋体" w:hAnsi="宋体" w:hint="eastAsia"/>
          <w:sz w:val="24"/>
          <w:szCs w:val="28"/>
        </w:rPr>
        <w:t>规划面积为用地面积196.83万平方米，人均公共管理与公共服务用地面积为9.2平方米。</w:t>
      </w:r>
    </w:p>
    <w:p w14:paraId="126BF7F2" w14:textId="46C49457" w:rsidR="00A77937" w:rsidRPr="0004613B" w:rsidRDefault="005B4929"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lastRenderedPageBreak/>
        <w:t>（4）</w:t>
      </w:r>
      <w:r w:rsidR="00A77937" w:rsidRPr="0004613B">
        <w:rPr>
          <w:rFonts w:ascii="宋体" w:eastAsia="宋体" w:hAnsi="宋体" w:hint="eastAsia"/>
          <w:sz w:val="24"/>
          <w:szCs w:val="28"/>
        </w:rPr>
        <w:t>商业服务设施用地：规划用地面积为89.36万平方米，</w:t>
      </w:r>
      <w:r w:rsidR="00A77937" w:rsidRPr="0004613B">
        <w:rPr>
          <w:rFonts w:ascii="宋体" w:eastAsia="宋体" w:hAnsi="宋体"/>
          <w:sz w:val="24"/>
          <w:szCs w:val="28"/>
        </w:rPr>
        <w:t>人均</w:t>
      </w:r>
      <w:r w:rsidR="00A77937" w:rsidRPr="0004613B">
        <w:rPr>
          <w:rFonts w:ascii="宋体" w:eastAsia="宋体" w:hAnsi="宋体" w:hint="eastAsia"/>
          <w:sz w:val="24"/>
          <w:szCs w:val="28"/>
        </w:rPr>
        <w:t>商业服务</w:t>
      </w:r>
      <w:r w:rsidR="00A77937" w:rsidRPr="0004613B">
        <w:rPr>
          <w:rFonts w:ascii="宋体" w:eastAsia="宋体" w:hAnsi="宋体"/>
          <w:sz w:val="24"/>
          <w:szCs w:val="28"/>
        </w:rPr>
        <w:t>设施用地面积</w:t>
      </w:r>
      <w:r w:rsidR="00A77937" w:rsidRPr="0004613B">
        <w:rPr>
          <w:rFonts w:ascii="宋体" w:eastAsia="宋体" w:hAnsi="宋体" w:hint="eastAsia"/>
          <w:sz w:val="24"/>
          <w:szCs w:val="28"/>
        </w:rPr>
        <w:t>4.17</w:t>
      </w:r>
      <w:r w:rsidR="00A77937" w:rsidRPr="0004613B">
        <w:rPr>
          <w:rFonts w:ascii="宋体" w:eastAsia="宋体" w:hAnsi="宋体"/>
          <w:sz w:val="24"/>
          <w:szCs w:val="28"/>
        </w:rPr>
        <w:t>平方米。</w:t>
      </w:r>
    </w:p>
    <w:p w14:paraId="41BC57F6" w14:textId="1CD08E23" w:rsidR="00A77937" w:rsidRPr="0004613B" w:rsidRDefault="005B4929"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（5）</w:t>
      </w:r>
      <w:r w:rsidR="00A77937" w:rsidRPr="0004613B">
        <w:rPr>
          <w:rFonts w:ascii="宋体" w:eastAsia="宋体" w:hAnsi="宋体"/>
          <w:sz w:val="24"/>
          <w:szCs w:val="28"/>
        </w:rPr>
        <w:t>工业用地</w:t>
      </w:r>
      <w:r w:rsidR="00A77937" w:rsidRPr="0004613B">
        <w:rPr>
          <w:rFonts w:ascii="宋体" w:eastAsia="宋体" w:hAnsi="宋体" w:hint="eastAsia"/>
          <w:sz w:val="24"/>
          <w:szCs w:val="28"/>
        </w:rPr>
        <w:t>：</w:t>
      </w:r>
      <w:r w:rsidR="00C455C8" w:rsidRPr="0004613B">
        <w:rPr>
          <w:rFonts w:ascii="宋体" w:eastAsia="宋体" w:hAnsi="宋体" w:hint="eastAsia"/>
          <w:sz w:val="24"/>
          <w:szCs w:val="28"/>
        </w:rPr>
        <w:t>规划总</w:t>
      </w:r>
      <w:r w:rsidR="00C455C8" w:rsidRPr="0004613B">
        <w:rPr>
          <w:rFonts w:ascii="宋体" w:eastAsia="宋体" w:hAnsi="宋体"/>
          <w:sz w:val="24"/>
          <w:szCs w:val="28"/>
        </w:rPr>
        <w:t>用地面积</w:t>
      </w:r>
      <w:r w:rsidR="00A77937" w:rsidRPr="0004613B">
        <w:rPr>
          <w:rFonts w:ascii="宋体" w:eastAsia="宋体" w:hAnsi="宋体" w:hint="eastAsia"/>
          <w:sz w:val="24"/>
          <w:szCs w:val="28"/>
        </w:rPr>
        <w:t>163.1</w:t>
      </w:r>
      <w:r w:rsidR="00C455C8" w:rsidRPr="0004613B">
        <w:rPr>
          <w:rFonts w:ascii="宋体" w:eastAsia="宋体" w:hAnsi="宋体" w:hint="eastAsia"/>
          <w:sz w:val="24"/>
          <w:szCs w:val="28"/>
        </w:rPr>
        <w:t>万</w:t>
      </w:r>
      <w:r w:rsidR="00A77937" w:rsidRPr="0004613B">
        <w:rPr>
          <w:rFonts w:ascii="宋体" w:eastAsia="宋体" w:hAnsi="宋体"/>
          <w:sz w:val="24"/>
          <w:szCs w:val="28"/>
        </w:rPr>
        <w:t>平方米。</w:t>
      </w:r>
      <w:r w:rsidR="00A77937" w:rsidRPr="0004613B">
        <w:rPr>
          <w:rFonts w:ascii="宋体" w:eastAsia="宋体" w:hAnsi="宋体" w:hint="eastAsia"/>
          <w:sz w:val="24"/>
          <w:szCs w:val="28"/>
        </w:rPr>
        <w:t>规划形成两大产业园：东直产业带和北大街产业园。东直产业园：东直路以南，重点依托甜菜研究所的科研优势及原亚麻厂的资源优势发展轻工及高科技研发产业。北大街产业园：位于北大街北侧，重点依托哈绥高速的交通运输优势发展木材深加工产业，以及机械制造业。</w:t>
      </w:r>
    </w:p>
    <w:p w14:paraId="74F97051" w14:textId="706A22E5" w:rsidR="00A77937" w:rsidRPr="0004613B" w:rsidRDefault="005B4929"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（6）</w:t>
      </w:r>
      <w:r w:rsidR="00A77937" w:rsidRPr="0004613B">
        <w:rPr>
          <w:rFonts w:ascii="宋体" w:eastAsia="宋体" w:hAnsi="宋体"/>
          <w:sz w:val="24"/>
          <w:szCs w:val="28"/>
        </w:rPr>
        <w:t>仓储物流用地</w:t>
      </w:r>
      <w:r w:rsidR="00A77937" w:rsidRPr="0004613B">
        <w:rPr>
          <w:rFonts w:ascii="宋体" w:eastAsia="宋体" w:hAnsi="宋体" w:hint="eastAsia"/>
          <w:sz w:val="24"/>
          <w:szCs w:val="28"/>
        </w:rPr>
        <w:t>：</w:t>
      </w:r>
      <w:r w:rsidR="00C455C8" w:rsidRPr="0004613B">
        <w:rPr>
          <w:rFonts w:ascii="宋体" w:eastAsia="宋体" w:hAnsi="宋体" w:hint="eastAsia"/>
          <w:sz w:val="24"/>
          <w:szCs w:val="28"/>
        </w:rPr>
        <w:t>规划</w:t>
      </w:r>
      <w:r w:rsidR="00A77937" w:rsidRPr="0004613B">
        <w:rPr>
          <w:rFonts w:ascii="宋体" w:eastAsia="宋体" w:hAnsi="宋体" w:hint="eastAsia"/>
          <w:sz w:val="24"/>
          <w:szCs w:val="28"/>
        </w:rPr>
        <w:t>总</w:t>
      </w:r>
      <w:r w:rsidR="00A77937" w:rsidRPr="0004613B">
        <w:rPr>
          <w:rFonts w:ascii="宋体" w:eastAsia="宋体" w:hAnsi="宋体"/>
          <w:sz w:val="24"/>
          <w:szCs w:val="28"/>
        </w:rPr>
        <w:t>用地面积达到</w:t>
      </w:r>
      <w:r w:rsidR="00A77937" w:rsidRPr="0004613B">
        <w:rPr>
          <w:rFonts w:ascii="宋体" w:eastAsia="宋体" w:hAnsi="宋体" w:hint="eastAsia"/>
          <w:sz w:val="24"/>
          <w:szCs w:val="28"/>
        </w:rPr>
        <w:t>190.61万平方米。</w:t>
      </w:r>
    </w:p>
    <w:p w14:paraId="469E5B70" w14:textId="054EE9DD" w:rsidR="00C455C8" w:rsidRPr="0004613B" w:rsidRDefault="005B4929"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（7）</w:t>
      </w:r>
      <w:r w:rsidR="00C455C8" w:rsidRPr="0004613B">
        <w:rPr>
          <w:rFonts w:ascii="宋体" w:eastAsia="宋体" w:hAnsi="宋体"/>
          <w:sz w:val="24"/>
          <w:szCs w:val="28"/>
        </w:rPr>
        <w:t>道路用地</w:t>
      </w:r>
      <w:r w:rsidR="00C455C8" w:rsidRPr="0004613B">
        <w:rPr>
          <w:rFonts w:ascii="宋体" w:eastAsia="宋体" w:hAnsi="宋体" w:hint="eastAsia"/>
          <w:sz w:val="24"/>
          <w:szCs w:val="28"/>
        </w:rPr>
        <w:t>：</w:t>
      </w:r>
      <w:r w:rsidR="00C455C8" w:rsidRPr="0004613B">
        <w:rPr>
          <w:rFonts w:ascii="宋体" w:eastAsia="宋体" w:hAnsi="宋体"/>
          <w:sz w:val="24"/>
          <w:szCs w:val="28"/>
        </w:rPr>
        <w:t>规划总用地面积</w:t>
      </w:r>
      <w:r w:rsidR="00C455C8" w:rsidRPr="0004613B">
        <w:rPr>
          <w:rFonts w:ascii="宋体" w:eastAsia="宋体" w:hAnsi="宋体" w:hint="eastAsia"/>
          <w:sz w:val="24"/>
          <w:szCs w:val="28"/>
        </w:rPr>
        <w:t>330.90万平方米。</w:t>
      </w:r>
    </w:p>
    <w:p w14:paraId="66429E94" w14:textId="5861AB9D" w:rsidR="00C455C8" w:rsidRPr="0004613B" w:rsidRDefault="005B4929"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（8）</w:t>
      </w:r>
      <w:r w:rsidR="00C455C8" w:rsidRPr="0004613B">
        <w:rPr>
          <w:rFonts w:ascii="宋体" w:eastAsia="宋体" w:hAnsi="宋体"/>
          <w:sz w:val="24"/>
          <w:szCs w:val="28"/>
        </w:rPr>
        <w:t>公用设施用地</w:t>
      </w:r>
      <w:r w:rsidR="00C455C8" w:rsidRPr="0004613B">
        <w:rPr>
          <w:rFonts w:ascii="宋体" w:eastAsia="宋体" w:hAnsi="宋体" w:hint="eastAsia"/>
          <w:sz w:val="24"/>
          <w:szCs w:val="28"/>
        </w:rPr>
        <w:t>：</w:t>
      </w:r>
      <w:r w:rsidR="00C455C8" w:rsidRPr="0004613B">
        <w:rPr>
          <w:rFonts w:ascii="宋体" w:eastAsia="宋体" w:hAnsi="宋体"/>
          <w:sz w:val="24"/>
          <w:szCs w:val="28"/>
        </w:rPr>
        <w:t>规划总用地面积</w:t>
      </w:r>
      <w:r w:rsidR="00C455C8" w:rsidRPr="0004613B">
        <w:rPr>
          <w:rFonts w:ascii="宋体" w:eastAsia="宋体" w:hAnsi="宋体" w:hint="eastAsia"/>
          <w:sz w:val="24"/>
          <w:szCs w:val="28"/>
        </w:rPr>
        <w:t>99.46万平方米。</w:t>
      </w:r>
      <w:r w:rsidRPr="0004613B">
        <w:rPr>
          <w:rFonts w:ascii="宋体" w:eastAsia="宋体" w:hAnsi="宋体" w:hint="eastAsia"/>
          <w:sz w:val="24"/>
          <w:szCs w:val="28"/>
        </w:rPr>
        <w:t>供排水，</w:t>
      </w:r>
      <w:r w:rsidR="00C455C8" w:rsidRPr="0004613B">
        <w:rPr>
          <w:rFonts w:ascii="宋体" w:eastAsia="宋体" w:hAnsi="宋体" w:hint="eastAsia"/>
          <w:sz w:val="24"/>
          <w:szCs w:val="28"/>
        </w:rPr>
        <w:t>规划升级改造并扩建区内现有水源及污水处理厂</w:t>
      </w:r>
      <w:r w:rsidRPr="0004613B">
        <w:rPr>
          <w:rFonts w:ascii="宋体" w:eastAsia="宋体" w:hAnsi="宋体" w:hint="eastAsia"/>
          <w:sz w:val="24"/>
          <w:szCs w:val="28"/>
        </w:rPr>
        <w:t>。供电，</w:t>
      </w:r>
      <w:r w:rsidR="00C455C8" w:rsidRPr="0004613B">
        <w:rPr>
          <w:rFonts w:ascii="宋体" w:eastAsia="宋体" w:hAnsi="宋体" w:hint="eastAsia"/>
          <w:sz w:val="24"/>
          <w:szCs w:val="28"/>
        </w:rPr>
        <w:t>在兰河街道范围内新建66KV呼兰2号变</w:t>
      </w:r>
      <w:r w:rsidRPr="0004613B">
        <w:rPr>
          <w:rFonts w:ascii="宋体" w:eastAsia="宋体" w:hAnsi="宋体" w:hint="eastAsia"/>
          <w:sz w:val="24"/>
          <w:szCs w:val="28"/>
        </w:rPr>
        <w:t>。燃气，近期仍采用大庆天然气作为气源，远期可采用哈尔滨引进的俄罗斯天然气作为气源，同时以液化石油气作为补充气源。供热，改造哈三电厂为主热源。</w:t>
      </w:r>
    </w:p>
    <w:p w14:paraId="76E07483" w14:textId="77777777" w:rsidR="005B4929" w:rsidRPr="0004613B" w:rsidRDefault="005B4929"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（9）</w:t>
      </w:r>
      <w:r w:rsidR="00C455C8" w:rsidRPr="0004613B">
        <w:rPr>
          <w:rFonts w:ascii="宋体" w:eastAsia="宋体" w:hAnsi="宋体"/>
          <w:sz w:val="24"/>
          <w:szCs w:val="28"/>
        </w:rPr>
        <w:t>绿化与广场用地</w:t>
      </w:r>
      <w:r w:rsidR="00C455C8" w:rsidRPr="0004613B">
        <w:rPr>
          <w:rFonts w:ascii="宋体" w:eastAsia="宋体" w:hAnsi="宋体" w:hint="eastAsia"/>
          <w:sz w:val="24"/>
          <w:szCs w:val="28"/>
        </w:rPr>
        <w:t>：</w:t>
      </w:r>
      <w:r w:rsidR="00C455C8" w:rsidRPr="0004613B">
        <w:rPr>
          <w:rFonts w:ascii="宋体" w:eastAsia="宋体" w:hAnsi="宋体"/>
          <w:sz w:val="24"/>
          <w:szCs w:val="28"/>
        </w:rPr>
        <w:t>规划总用地面积</w:t>
      </w:r>
      <w:r w:rsidR="00C455C8" w:rsidRPr="0004613B">
        <w:rPr>
          <w:rFonts w:ascii="宋体" w:eastAsia="宋体" w:hAnsi="宋体" w:hint="eastAsia"/>
          <w:sz w:val="24"/>
          <w:szCs w:val="28"/>
        </w:rPr>
        <w:t>394.39万平方米，人均用地面积18.43平方米。</w:t>
      </w:r>
      <w:r w:rsidRPr="0004613B">
        <w:rPr>
          <w:rFonts w:ascii="宋体" w:eastAsia="宋体" w:hAnsi="宋体" w:hint="eastAsia"/>
          <w:sz w:val="24"/>
          <w:szCs w:val="28"/>
        </w:rPr>
        <w:t>在主城区结合城市危房改造、环境综合整治、工业企业搬迁，留出公园绿地；在新区按照生态城市标准留出绿化用地；保证市民出行500米可以到达一块1000平方米以上公共绿地。</w:t>
      </w:r>
    </w:p>
    <w:p w14:paraId="33EBEC57" w14:textId="5AF98054" w:rsidR="00A77937" w:rsidRPr="0004613B" w:rsidRDefault="005B4929" w:rsidP="0004613B">
      <w:pPr>
        <w:spacing w:line="360" w:lineRule="auto"/>
        <w:ind w:firstLineChars="200" w:firstLine="480"/>
        <w:rPr>
          <w:rFonts w:ascii="宋体" w:eastAsia="宋体" w:hAnsi="宋体"/>
          <w:sz w:val="24"/>
          <w:szCs w:val="28"/>
        </w:rPr>
      </w:pPr>
      <w:r w:rsidRPr="0004613B">
        <w:rPr>
          <w:rFonts w:ascii="宋体" w:eastAsia="宋体" w:hAnsi="宋体"/>
          <w:sz w:val="24"/>
          <w:szCs w:val="28"/>
        </w:rPr>
        <w:t>5</w:t>
      </w:r>
      <w:r w:rsidR="00F60D87" w:rsidRPr="0004613B">
        <w:rPr>
          <w:rFonts w:ascii="宋体" w:eastAsia="宋体" w:hAnsi="宋体" w:hint="eastAsia"/>
          <w:sz w:val="24"/>
          <w:szCs w:val="28"/>
        </w:rPr>
        <w:t>、绿地</w:t>
      </w:r>
      <w:r w:rsidR="00A77937" w:rsidRPr="0004613B">
        <w:rPr>
          <w:rFonts w:ascii="宋体" w:eastAsia="宋体" w:hAnsi="宋体" w:hint="eastAsia"/>
          <w:sz w:val="24"/>
          <w:szCs w:val="28"/>
        </w:rPr>
        <w:t>系统规划</w:t>
      </w:r>
    </w:p>
    <w:p w14:paraId="73CF73A0" w14:textId="46B2F7DC" w:rsidR="00F82EE4" w:rsidRPr="0004613B" w:rsidRDefault="00A77937"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至2030年，构建形成“一廊、两带、三点、多核心”的绿地布局结构体系。</w:t>
      </w:r>
      <w:r w:rsidR="00F82EE4" w:rsidRPr="0004613B">
        <w:rPr>
          <w:rFonts w:ascii="宋体" w:eastAsia="宋体" w:hAnsi="宋体" w:hint="eastAsia"/>
          <w:sz w:val="24"/>
          <w:szCs w:val="28"/>
        </w:rPr>
        <w:t>三廊</w:t>
      </w:r>
      <w:r w:rsidR="00F82EE4" w:rsidRPr="0004613B">
        <w:rPr>
          <w:rFonts w:ascii="宋体" w:eastAsia="宋体" w:hAnsi="宋体"/>
          <w:sz w:val="24"/>
          <w:szCs w:val="28"/>
        </w:rPr>
        <w:t>——</w:t>
      </w:r>
      <w:r w:rsidR="00F82EE4" w:rsidRPr="0004613B">
        <w:rPr>
          <w:rFonts w:ascii="宋体" w:eastAsia="宋体" w:hAnsi="宋体" w:hint="eastAsia"/>
          <w:sz w:val="24"/>
          <w:szCs w:val="28"/>
        </w:rPr>
        <w:t>沿呼兰河及两条内河的滨水绿廊；三心</w:t>
      </w:r>
      <w:r w:rsidR="00F82EE4" w:rsidRPr="0004613B">
        <w:rPr>
          <w:rFonts w:ascii="宋体" w:eastAsia="宋体" w:hAnsi="宋体"/>
          <w:sz w:val="24"/>
          <w:szCs w:val="28"/>
        </w:rPr>
        <w:t>——</w:t>
      </w:r>
      <w:r w:rsidR="00F82EE4" w:rsidRPr="0004613B">
        <w:rPr>
          <w:rFonts w:ascii="宋体" w:eastAsia="宋体" w:hAnsi="宋体" w:hint="eastAsia"/>
          <w:sz w:val="24"/>
          <w:szCs w:val="28"/>
        </w:rPr>
        <w:t>西岗公园、南部滨河绿心、北环路公园绿心；多点</w:t>
      </w:r>
      <w:r w:rsidR="00F82EE4" w:rsidRPr="0004613B">
        <w:rPr>
          <w:rFonts w:ascii="宋体" w:eastAsia="宋体" w:hAnsi="宋体"/>
          <w:sz w:val="24"/>
          <w:szCs w:val="28"/>
        </w:rPr>
        <w:t>——</w:t>
      </w:r>
      <w:r w:rsidR="00F82EE4" w:rsidRPr="0004613B">
        <w:rPr>
          <w:rFonts w:ascii="宋体" w:eastAsia="宋体" w:hAnsi="宋体" w:hint="eastAsia"/>
          <w:sz w:val="24"/>
          <w:szCs w:val="28"/>
        </w:rPr>
        <w:t>在城区按照</w:t>
      </w:r>
      <w:smartTag w:uri="urn:schemas-microsoft-com:office:smarttags" w:element="chmetcnv">
        <w:smartTagPr>
          <w:attr w:name="UnitName" w:val="米"/>
          <w:attr w:name="SourceValue" w:val="500"/>
          <w:attr w:name="HasSpace" w:val="False"/>
          <w:attr w:name="Negative" w:val="False"/>
          <w:attr w:name="NumberType" w:val="1"/>
          <w:attr w:name="TCSC" w:val="0"/>
        </w:smartTagPr>
        <w:r w:rsidR="00F82EE4" w:rsidRPr="0004613B">
          <w:rPr>
            <w:rFonts w:ascii="宋体" w:eastAsia="宋体" w:hAnsi="宋体" w:hint="eastAsia"/>
            <w:sz w:val="24"/>
            <w:szCs w:val="28"/>
          </w:rPr>
          <w:t>500米</w:t>
        </w:r>
      </w:smartTag>
      <w:r w:rsidR="00F82EE4" w:rsidRPr="0004613B">
        <w:rPr>
          <w:rFonts w:ascii="宋体" w:eastAsia="宋体" w:hAnsi="宋体" w:hint="eastAsia"/>
          <w:sz w:val="24"/>
          <w:szCs w:val="28"/>
        </w:rPr>
        <w:t>公园绿地服务半径，形成一系列与城市人口规模相对应的大中小型公园绿地，满足城市居民游憩、承担碳氧平衡、维护生物多样性、动物栖息地等相对均匀布置的多个生态核心。</w:t>
      </w:r>
    </w:p>
    <w:p w14:paraId="065E4235" w14:textId="6B455B99" w:rsidR="00F82EE4" w:rsidRPr="0004613B" w:rsidRDefault="00F82EE4" w:rsidP="0004613B">
      <w:pPr>
        <w:spacing w:line="360" w:lineRule="auto"/>
        <w:ind w:firstLineChars="200" w:firstLine="480"/>
        <w:rPr>
          <w:rFonts w:ascii="宋体" w:eastAsia="宋体" w:hAnsi="宋体"/>
          <w:sz w:val="24"/>
          <w:szCs w:val="28"/>
        </w:rPr>
      </w:pPr>
      <w:r w:rsidRPr="0004613B">
        <w:rPr>
          <w:rFonts w:ascii="宋体" w:eastAsia="宋体" w:hAnsi="宋体"/>
          <w:sz w:val="24"/>
          <w:szCs w:val="28"/>
        </w:rPr>
        <w:t>2030年，</w:t>
      </w:r>
      <w:r w:rsidRPr="0004613B">
        <w:rPr>
          <w:rFonts w:ascii="宋体" w:eastAsia="宋体" w:hAnsi="宋体" w:hint="eastAsia"/>
          <w:sz w:val="24"/>
          <w:szCs w:val="28"/>
        </w:rPr>
        <w:t>主城区</w:t>
      </w:r>
      <w:r w:rsidRPr="0004613B">
        <w:rPr>
          <w:rFonts w:ascii="宋体" w:eastAsia="宋体" w:hAnsi="宋体"/>
          <w:sz w:val="24"/>
          <w:szCs w:val="28"/>
        </w:rPr>
        <w:t>公</w:t>
      </w:r>
      <w:r w:rsidRPr="0004613B">
        <w:rPr>
          <w:rFonts w:ascii="宋体" w:eastAsia="宋体" w:hAnsi="宋体" w:hint="eastAsia"/>
          <w:sz w:val="24"/>
          <w:szCs w:val="28"/>
        </w:rPr>
        <w:t>园</w:t>
      </w:r>
      <w:r w:rsidRPr="0004613B">
        <w:rPr>
          <w:rFonts w:ascii="宋体" w:eastAsia="宋体" w:hAnsi="宋体"/>
          <w:sz w:val="24"/>
          <w:szCs w:val="28"/>
        </w:rPr>
        <w:t>绿地面积</w:t>
      </w:r>
      <w:r w:rsidRPr="0004613B">
        <w:rPr>
          <w:rFonts w:ascii="宋体" w:eastAsia="宋体" w:hAnsi="宋体" w:hint="eastAsia"/>
          <w:sz w:val="24"/>
          <w:szCs w:val="28"/>
        </w:rPr>
        <w:t>330.80</w:t>
      </w:r>
      <w:r w:rsidRPr="0004613B">
        <w:rPr>
          <w:rFonts w:ascii="宋体" w:eastAsia="宋体" w:hAnsi="宋体"/>
          <w:sz w:val="24"/>
          <w:szCs w:val="28"/>
        </w:rPr>
        <w:t>万平方米，绿地率</w:t>
      </w:r>
      <w:r w:rsidRPr="0004613B">
        <w:rPr>
          <w:rFonts w:ascii="宋体" w:eastAsia="宋体" w:hAnsi="宋体" w:hint="eastAsia"/>
          <w:sz w:val="24"/>
          <w:szCs w:val="28"/>
        </w:rPr>
        <w:t>达到38</w:t>
      </w:r>
      <w:r w:rsidRPr="0004613B">
        <w:rPr>
          <w:rFonts w:ascii="宋体" w:eastAsia="宋体" w:hAnsi="宋体"/>
          <w:sz w:val="24"/>
          <w:szCs w:val="28"/>
        </w:rPr>
        <w:t>%以上，人均公</w:t>
      </w:r>
      <w:r w:rsidRPr="0004613B">
        <w:rPr>
          <w:rFonts w:ascii="宋体" w:eastAsia="宋体" w:hAnsi="宋体" w:hint="eastAsia"/>
          <w:sz w:val="24"/>
          <w:szCs w:val="28"/>
        </w:rPr>
        <w:t>园</w:t>
      </w:r>
      <w:r w:rsidRPr="0004613B">
        <w:rPr>
          <w:rFonts w:ascii="宋体" w:eastAsia="宋体" w:hAnsi="宋体"/>
          <w:sz w:val="24"/>
          <w:szCs w:val="28"/>
        </w:rPr>
        <w:t>绿地</w:t>
      </w:r>
      <w:r w:rsidRPr="0004613B">
        <w:rPr>
          <w:rFonts w:ascii="宋体" w:eastAsia="宋体" w:hAnsi="宋体" w:hint="eastAsia"/>
          <w:sz w:val="24"/>
          <w:szCs w:val="28"/>
        </w:rPr>
        <w:t>15.45</w:t>
      </w:r>
      <w:r w:rsidRPr="0004613B">
        <w:rPr>
          <w:rFonts w:ascii="宋体" w:eastAsia="宋体" w:hAnsi="宋体"/>
          <w:sz w:val="24"/>
          <w:szCs w:val="28"/>
        </w:rPr>
        <w:t>平方米</w:t>
      </w:r>
      <w:r w:rsidRPr="0004613B">
        <w:rPr>
          <w:rFonts w:ascii="宋体" w:eastAsia="宋体" w:hAnsi="宋体" w:hint="eastAsia"/>
          <w:sz w:val="24"/>
          <w:szCs w:val="28"/>
        </w:rPr>
        <w:t>。主城区规划3</w:t>
      </w:r>
      <w:r w:rsidRPr="0004613B">
        <w:rPr>
          <w:rFonts w:ascii="宋体" w:eastAsia="宋体" w:hAnsi="宋体"/>
          <w:sz w:val="24"/>
          <w:szCs w:val="28"/>
        </w:rPr>
        <w:t>个</w:t>
      </w:r>
      <w:r w:rsidRPr="0004613B">
        <w:rPr>
          <w:rFonts w:ascii="宋体" w:eastAsia="宋体" w:hAnsi="宋体" w:hint="eastAsia"/>
          <w:sz w:val="24"/>
          <w:szCs w:val="28"/>
        </w:rPr>
        <w:t>区</w:t>
      </w:r>
      <w:r w:rsidRPr="0004613B">
        <w:rPr>
          <w:rFonts w:ascii="宋体" w:eastAsia="宋体" w:hAnsi="宋体"/>
          <w:sz w:val="24"/>
          <w:szCs w:val="28"/>
        </w:rPr>
        <w:t>级公园，</w:t>
      </w:r>
      <w:r w:rsidRPr="0004613B">
        <w:rPr>
          <w:rFonts w:ascii="宋体" w:eastAsia="宋体" w:hAnsi="宋体" w:hint="eastAsia"/>
          <w:sz w:val="24"/>
          <w:szCs w:val="28"/>
        </w:rPr>
        <w:t>包括西岗公园、南部滨河绿心、北环路公园绿心。</w:t>
      </w:r>
    </w:p>
    <w:p w14:paraId="0315A49E" w14:textId="27172274" w:rsidR="005B4929" w:rsidRPr="0004613B" w:rsidRDefault="005B4929"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6、综合交通规划</w:t>
      </w:r>
    </w:p>
    <w:p w14:paraId="1555B1D0" w14:textId="62BDCDEA" w:rsidR="005B4929" w:rsidRPr="0004613B" w:rsidRDefault="005B4929" w:rsidP="0004613B">
      <w:pPr>
        <w:spacing w:line="360" w:lineRule="auto"/>
        <w:ind w:firstLineChars="200" w:firstLine="480"/>
        <w:rPr>
          <w:rFonts w:ascii="宋体" w:eastAsia="宋体" w:hAnsi="宋体"/>
          <w:sz w:val="24"/>
          <w:szCs w:val="28"/>
        </w:rPr>
      </w:pPr>
      <w:r w:rsidRPr="0004613B">
        <w:rPr>
          <w:rFonts w:ascii="宋体" w:eastAsia="宋体" w:hAnsi="宋体"/>
          <w:sz w:val="24"/>
          <w:szCs w:val="28"/>
        </w:rPr>
        <w:t>根据呼兰区功能定位、规模以及用地布局，呼兰城区道路等级划分为</w:t>
      </w:r>
      <w:r w:rsidRPr="0004613B">
        <w:rPr>
          <w:rFonts w:ascii="宋体" w:eastAsia="宋体" w:hAnsi="宋体" w:hint="eastAsia"/>
          <w:sz w:val="24"/>
          <w:szCs w:val="28"/>
        </w:rPr>
        <w:t>三</w:t>
      </w:r>
      <w:r w:rsidRPr="0004613B">
        <w:rPr>
          <w:rFonts w:ascii="宋体" w:eastAsia="宋体" w:hAnsi="宋体"/>
          <w:sz w:val="24"/>
          <w:szCs w:val="28"/>
        </w:rPr>
        <w:t>级：</w:t>
      </w:r>
      <w:r w:rsidRPr="0004613B">
        <w:rPr>
          <w:rFonts w:ascii="宋体" w:eastAsia="宋体" w:hAnsi="宋体" w:hint="eastAsia"/>
          <w:sz w:val="24"/>
          <w:szCs w:val="28"/>
        </w:rPr>
        <w:t>地区间联系</w:t>
      </w:r>
      <w:r w:rsidRPr="0004613B">
        <w:rPr>
          <w:rFonts w:ascii="宋体" w:eastAsia="宋体" w:hAnsi="宋体"/>
          <w:sz w:val="24"/>
          <w:szCs w:val="28"/>
        </w:rPr>
        <w:t>干道</w:t>
      </w:r>
      <w:r w:rsidRPr="0004613B">
        <w:rPr>
          <w:rFonts w:ascii="宋体" w:eastAsia="宋体" w:hAnsi="宋体" w:hint="eastAsia"/>
          <w:sz w:val="24"/>
          <w:szCs w:val="28"/>
        </w:rPr>
        <w:t>、</w:t>
      </w:r>
      <w:r w:rsidRPr="0004613B">
        <w:rPr>
          <w:rFonts w:ascii="宋体" w:eastAsia="宋体" w:hAnsi="宋体"/>
          <w:sz w:val="24"/>
          <w:szCs w:val="28"/>
        </w:rPr>
        <w:t>主干道、次干道。规划道路红线宽度：主干道新区按60—</w:t>
      </w:r>
      <w:smartTag w:uri="urn:schemas-microsoft-com:office:smarttags" w:element="chmetcnv">
        <w:smartTagPr>
          <w:attr w:name="TCSC" w:val="0"/>
          <w:attr w:name="NumberType" w:val="1"/>
          <w:attr w:name="Negative" w:val="False"/>
          <w:attr w:name="HasSpace" w:val="False"/>
          <w:attr w:name="SourceValue" w:val="70"/>
          <w:attr w:name="UnitName" w:val="米"/>
        </w:smartTagPr>
        <w:r w:rsidRPr="0004613B">
          <w:rPr>
            <w:rFonts w:ascii="宋体" w:eastAsia="宋体" w:hAnsi="宋体"/>
            <w:sz w:val="24"/>
            <w:szCs w:val="28"/>
          </w:rPr>
          <w:t>70米</w:t>
        </w:r>
      </w:smartTag>
      <w:r w:rsidRPr="0004613B">
        <w:rPr>
          <w:rFonts w:ascii="宋体" w:eastAsia="宋体" w:hAnsi="宋体"/>
          <w:sz w:val="24"/>
          <w:szCs w:val="28"/>
        </w:rPr>
        <w:t>控制，老城区按40—</w:t>
      </w:r>
      <w:smartTag w:uri="urn:schemas-microsoft-com:office:smarttags" w:element="chmetcnv">
        <w:smartTagPr>
          <w:attr w:name="TCSC" w:val="0"/>
          <w:attr w:name="NumberType" w:val="1"/>
          <w:attr w:name="Negative" w:val="False"/>
          <w:attr w:name="HasSpace" w:val="False"/>
          <w:attr w:name="SourceValue" w:val="60"/>
          <w:attr w:name="UnitName" w:val="米"/>
        </w:smartTagPr>
        <w:r w:rsidRPr="0004613B">
          <w:rPr>
            <w:rFonts w:ascii="宋体" w:eastAsia="宋体" w:hAnsi="宋体"/>
            <w:sz w:val="24"/>
            <w:szCs w:val="28"/>
          </w:rPr>
          <w:t>60米</w:t>
        </w:r>
      </w:smartTag>
      <w:r w:rsidRPr="0004613B">
        <w:rPr>
          <w:rFonts w:ascii="宋体" w:eastAsia="宋体" w:hAnsi="宋体"/>
          <w:sz w:val="24"/>
          <w:szCs w:val="28"/>
        </w:rPr>
        <w:t>控制；次干道新区按40—</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04613B">
          <w:rPr>
            <w:rFonts w:ascii="宋体" w:eastAsia="宋体" w:hAnsi="宋体"/>
            <w:sz w:val="24"/>
            <w:szCs w:val="28"/>
          </w:rPr>
          <w:t>50米</w:t>
        </w:r>
      </w:smartTag>
      <w:r w:rsidRPr="0004613B">
        <w:rPr>
          <w:rFonts w:ascii="宋体" w:eastAsia="宋体" w:hAnsi="宋体"/>
          <w:sz w:val="24"/>
          <w:szCs w:val="28"/>
        </w:rPr>
        <w:t>控制。对于有特殊情况的路段做特殊处理。</w:t>
      </w:r>
    </w:p>
    <w:p w14:paraId="3D91716A" w14:textId="3A64F1EF" w:rsidR="005B4929" w:rsidRPr="0004613B" w:rsidRDefault="00F82EE4"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7、历史文化街区保护</w:t>
      </w:r>
    </w:p>
    <w:p w14:paraId="2C43234A" w14:textId="173498E3" w:rsidR="00B60BB3" w:rsidRPr="0004613B" w:rsidRDefault="00F82EE4" w:rsidP="0004613B">
      <w:pPr>
        <w:spacing w:line="360" w:lineRule="auto"/>
        <w:ind w:firstLineChars="200" w:firstLine="480"/>
        <w:rPr>
          <w:rFonts w:ascii="宋体" w:eastAsia="宋体" w:hAnsi="宋体"/>
          <w:sz w:val="24"/>
          <w:szCs w:val="28"/>
        </w:rPr>
      </w:pPr>
      <w:r w:rsidRPr="0004613B">
        <w:rPr>
          <w:rFonts w:ascii="宋体" w:eastAsia="宋体" w:hAnsi="宋体" w:hint="eastAsia"/>
          <w:sz w:val="24"/>
          <w:szCs w:val="28"/>
        </w:rPr>
        <w:t>区内有哈尔滨市政府已公布2处历史文化街区，分别为萧红故居历史文化街区、石公祠历史文化街区，总占地面积为32.56万平方米。</w:t>
      </w:r>
      <w:r w:rsidRPr="0004613B">
        <w:rPr>
          <w:rFonts w:ascii="宋体" w:eastAsia="宋体" w:hAnsi="宋体"/>
          <w:sz w:val="24"/>
          <w:szCs w:val="28"/>
        </w:rPr>
        <w:t>在历史文化街区核心保护范围内</w:t>
      </w:r>
      <w:r w:rsidR="00B60BB3" w:rsidRPr="0004613B">
        <w:rPr>
          <w:rFonts w:ascii="宋体" w:eastAsia="宋体" w:hAnsi="宋体" w:hint="eastAsia"/>
          <w:sz w:val="24"/>
          <w:szCs w:val="28"/>
        </w:rPr>
        <w:t>不得进行新建、扩建活动；但新建、扩建必要的基础设施和公共服务设施除外。历史文化街区建设控制地带内，新建、改建、扩建建筑物、构筑物的高度、体量、色彩和风格，应当符合保护规划确定的建设控制要求。</w:t>
      </w:r>
    </w:p>
    <w:p w14:paraId="5904E536" w14:textId="77777777" w:rsidR="0004613B" w:rsidRPr="00B60BB3" w:rsidRDefault="0004613B" w:rsidP="00B60BB3">
      <w:pPr>
        <w:ind w:firstLineChars="200" w:firstLine="420"/>
      </w:pPr>
    </w:p>
    <w:p w14:paraId="7B2158A9" w14:textId="06F6C915" w:rsidR="00F60D87" w:rsidRDefault="00F60D87" w:rsidP="003E5366">
      <w:pPr>
        <w:jc w:val="center"/>
        <w:rPr>
          <w:color w:val="FF0000"/>
        </w:rPr>
      </w:pPr>
    </w:p>
    <w:p w14:paraId="4E80AAC2" w14:textId="11A72474" w:rsidR="0004613B" w:rsidRPr="00491371" w:rsidRDefault="00F13D6A" w:rsidP="003E5366">
      <w:pPr>
        <w:jc w:val="center"/>
        <w:rPr>
          <w:color w:val="FF0000"/>
        </w:rPr>
      </w:pPr>
      <w:r>
        <w:rPr>
          <w:color w:val="FF0000"/>
        </w:rPr>
        <w:pict w14:anchorId="577A2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2pt;height:293.1pt">
            <v:imagedata r:id="rId6" o:title="幻灯片2"/>
          </v:shape>
        </w:pict>
      </w:r>
    </w:p>
    <w:p w14:paraId="59752621" w14:textId="77B79610" w:rsidR="00E3698C" w:rsidRPr="00491371" w:rsidRDefault="00F13D6A" w:rsidP="003E5366">
      <w:pPr>
        <w:jc w:val="center"/>
        <w:rPr>
          <w:color w:val="FF0000"/>
        </w:rPr>
      </w:pPr>
      <w:r>
        <w:rPr>
          <w:color w:val="FF0000"/>
        </w:rPr>
        <w:pict w14:anchorId="21420224">
          <v:shape id="_x0000_i1026" type="#_x0000_t75" style="width:414.2pt;height:293.1pt">
            <v:imagedata r:id="rId7" o:title="幻灯片3"/>
          </v:shape>
        </w:pict>
      </w:r>
    </w:p>
    <w:sectPr w:rsidR="00E3698C" w:rsidRPr="004913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6239F" w14:textId="77777777" w:rsidR="004C7D6B" w:rsidRDefault="004C7D6B" w:rsidP="00E56065">
      <w:r>
        <w:separator/>
      </w:r>
    </w:p>
  </w:endnote>
  <w:endnote w:type="continuationSeparator" w:id="0">
    <w:p w14:paraId="203345FA" w14:textId="77777777" w:rsidR="004C7D6B" w:rsidRDefault="004C7D6B" w:rsidP="00E5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E463B" w14:textId="77777777" w:rsidR="004C7D6B" w:rsidRDefault="004C7D6B" w:rsidP="00E56065">
      <w:r>
        <w:separator/>
      </w:r>
    </w:p>
  </w:footnote>
  <w:footnote w:type="continuationSeparator" w:id="0">
    <w:p w14:paraId="71C88083" w14:textId="77777777" w:rsidR="004C7D6B" w:rsidRDefault="004C7D6B" w:rsidP="00E56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A0C"/>
    <w:rsid w:val="0004613B"/>
    <w:rsid w:val="001E1632"/>
    <w:rsid w:val="003E5366"/>
    <w:rsid w:val="00432A0C"/>
    <w:rsid w:val="00491371"/>
    <w:rsid w:val="004C7D6B"/>
    <w:rsid w:val="005B4929"/>
    <w:rsid w:val="00990139"/>
    <w:rsid w:val="00A77937"/>
    <w:rsid w:val="00AA4D4C"/>
    <w:rsid w:val="00B60BB3"/>
    <w:rsid w:val="00C455C8"/>
    <w:rsid w:val="00E3698C"/>
    <w:rsid w:val="00E56065"/>
    <w:rsid w:val="00EA1B5A"/>
    <w:rsid w:val="00F13D6A"/>
    <w:rsid w:val="00F60D87"/>
    <w:rsid w:val="00F8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F019291"/>
  <w15:chartTrackingRefBased/>
  <w15:docId w15:val="{B7DC63CE-B087-4CFD-A64A-8A5A1B40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60D8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60D87"/>
    <w:rPr>
      <w:rFonts w:ascii="宋体" w:eastAsia="宋体" w:hAnsi="宋体" w:cs="宋体"/>
      <w:b/>
      <w:bCs/>
      <w:kern w:val="0"/>
      <w:sz w:val="36"/>
      <w:szCs w:val="36"/>
    </w:rPr>
  </w:style>
  <w:style w:type="paragraph" w:styleId="a3">
    <w:name w:val="Normal (Web)"/>
    <w:basedOn w:val="a"/>
    <w:uiPriority w:val="99"/>
    <w:semiHidden/>
    <w:unhideWhenUsed/>
    <w:rsid w:val="00F60D8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E5606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56065"/>
    <w:rPr>
      <w:sz w:val="18"/>
      <w:szCs w:val="18"/>
    </w:rPr>
  </w:style>
  <w:style w:type="paragraph" w:styleId="a6">
    <w:name w:val="footer"/>
    <w:basedOn w:val="a"/>
    <w:link w:val="a7"/>
    <w:uiPriority w:val="99"/>
    <w:unhideWhenUsed/>
    <w:rsid w:val="00E56065"/>
    <w:pPr>
      <w:tabs>
        <w:tab w:val="center" w:pos="4153"/>
        <w:tab w:val="right" w:pos="8306"/>
      </w:tabs>
      <w:snapToGrid w:val="0"/>
      <w:jc w:val="left"/>
    </w:pPr>
    <w:rPr>
      <w:sz w:val="18"/>
      <w:szCs w:val="18"/>
    </w:rPr>
  </w:style>
  <w:style w:type="character" w:customStyle="1" w:styleId="a7">
    <w:name w:val="页脚 字符"/>
    <w:basedOn w:val="a0"/>
    <w:link w:val="a6"/>
    <w:uiPriority w:val="99"/>
    <w:rsid w:val="00E56065"/>
    <w:rPr>
      <w:sz w:val="18"/>
      <w:szCs w:val="18"/>
    </w:rPr>
  </w:style>
  <w:style w:type="paragraph" w:styleId="a8">
    <w:name w:val="List Paragraph"/>
    <w:basedOn w:val="a"/>
    <w:uiPriority w:val="34"/>
    <w:qFormat/>
    <w:rsid w:val="00C455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158856">
      <w:bodyDiv w:val="1"/>
      <w:marLeft w:val="0"/>
      <w:marRight w:val="0"/>
      <w:marTop w:val="0"/>
      <w:marBottom w:val="0"/>
      <w:divBdr>
        <w:top w:val="none" w:sz="0" w:space="0" w:color="auto"/>
        <w:left w:val="none" w:sz="0" w:space="0" w:color="auto"/>
        <w:bottom w:val="none" w:sz="0" w:space="0" w:color="auto"/>
        <w:right w:val="none" w:sz="0" w:space="0" w:color="auto"/>
      </w:divBdr>
    </w:div>
    <w:div w:id="163972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zg</dc:creator>
  <cp:keywords/>
  <dc:description/>
  <cp:lastModifiedBy>QZ-PC</cp:lastModifiedBy>
  <cp:revision>9</cp:revision>
  <dcterms:created xsi:type="dcterms:W3CDTF">2021-10-19T09:37:00Z</dcterms:created>
  <dcterms:modified xsi:type="dcterms:W3CDTF">2021-10-27T04:38:00Z</dcterms:modified>
</cp:coreProperties>
</file>