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呼兰区国民经济和社会发展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仿宋_GB2312" w:hAnsi="仿宋" w:eastAsia="仿宋_GB2312" w:cs="仿宋"/>
          <w:b w:val="0"/>
          <w:bCs w:val="0"/>
        </w:rPr>
      </w:pPr>
      <w:r>
        <w:rPr>
          <w:rFonts w:hint="eastAsia" w:ascii="方正小标宋简体" w:hAnsi="方正小标宋简体" w:eastAsia="方正小标宋简体" w:cs="方正小标宋简体"/>
          <w:b w:val="0"/>
          <w:bCs w:val="0"/>
          <w:sz w:val="44"/>
          <w:szCs w:val="44"/>
        </w:rPr>
        <w:t>第十四个五年规划纲要</w:t>
      </w:r>
    </w:p>
    <w:p>
      <w:pPr>
        <w:pStyle w:val="2"/>
        <w:rPr>
          <w:b w:val="0"/>
          <w:bCs w:val="0"/>
        </w:rPr>
      </w:pPr>
    </w:p>
    <w:p>
      <w:pPr>
        <w:pStyle w:val="4"/>
        <w:spacing w:line="360" w:lineRule="auto"/>
        <w:rPr>
          <w:b w:val="0"/>
          <w:bCs w:val="0"/>
        </w:rPr>
      </w:pPr>
      <w:r>
        <w:rPr>
          <w:rFonts w:hint="eastAsia" w:ascii="黑体" w:hAnsi="黑体" w:eastAsia="黑体" w:cs="仿宋"/>
          <w:b w:val="0"/>
          <w:bCs w:val="0"/>
          <w:sz w:val="32"/>
          <w:szCs w:val="32"/>
        </w:rPr>
        <w:t>目    录</w:t>
      </w:r>
      <w:r>
        <w:rPr>
          <w:rFonts w:hint="eastAsia" w:ascii="华文中宋" w:hAnsi="华文中宋" w:eastAsia="华文中宋" w:cs="宋体"/>
          <w:b w:val="0"/>
          <w:bCs w:val="0"/>
          <w:sz w:val="24"/>
          <w:szCs w:val="24"/>
        </w:rPr>
        <w:fldChar w:fldCharType="begin"/>
      </w:r>
      <w:r>
        <w:rPr>
          <w:rFonts w:hint="eastAsia" w:ascii="华文中宋" w:hAnsi="华文中宋" w:eastAsia="华文中宋" w:cs="宋体"/>
          <w:b w:val="0"/>
          <w:bCs w:val="0"/>
          <w:sz w:val="24"/>
          <w:szCs w:val="24"/>
        </w:rPr>
        <w:instrText xml:space="preserve"> TOC \o "1-3" \h \z \u </w:instrText>
      </w:r>
      <w:r>
        <w:rPr>
          <w:rFonts w:hint="eastAsia" w:ascii="华文中宋" w:hAnsi="华文中宋" w:eastAsia="华文中宋" w:cs="宋体"/>
          <w:b w:val="0"/>
          <w:bCs w:val="0"/>
          <w:sz w:val="24"/>
          <w:szCs w:val="24"/>
        </w:rPr>
        <w:fldChar w:fldCharType="separate"/>
      </w:r>
    </w:p>
    <w:p>
      <w:pPr>
        <w:pStyle w:val="4"/>
        <w:keepNext w:val="0"/>
        <w:keepLines w:val="0"/>
        <w:pageBreakBefore w:val="0"/>
        <w:widowControl w:val="0"/>
        <w:tabs>
          <w:tab w:val="right" w:leader="dot" w:pos="8640"/>
          <w:tab w:val="clear" w:pos="863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_Toc49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第一章 “十三五”时期发展成就与“十四五”时期面临环境</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_Toc26784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第一节 决胜全面建成小康社会取得的新成效</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_Toc4927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第二节 “十四五”时期面临的发展环境</w:t>
      </w:r>
      <w:r>
        <w:rPr>
          <w:rFonts w:hint="eastAsia" w:ascii="仿宋" w:hAnsi="仿宋" w:eastAsia="仿宋" w:cs="仿宋"/>
          <w:b w:val="0"/>
          <w:bCs w:val="0"/>
          <w:sz w:val="32"/>
          <w:szCs w:val="32"/>
        </w:rPr>
        <w:fldChar w:fldCharType="end"/>
      </w:r>
    </w:p>
    <w:p>
      <w:pPr>
        <w:pStyle w:val="4"/>
        <w:keepNext w:val="0"/>
        <w:keepLines w:val="0"/>
        <w:pageBreakBefore w:val="0"/>
        <w:widowControl w:val="0"/>
        <w:tabs>
          <w:tab w:val="right" w:leader="dot" w:pos="8640"/>
          <w:tab w:val="clear" w:pos="863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_Toc27411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第二章 “十四五”时期经济社会发展总体要求</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_Toc4656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第一节 指导思想</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_Toc12280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第二节 基本原则</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_Toc117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第三节 发展定位</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_Toc10229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第四节 主要目标</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_Toc25406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第五节 到2035年基本实现社会主义现代化的远景目标</w:t>
      </w:r>
      <w:r>
        <w:rPr>
          <w:rFonts w:hint="eastAsia" w:ascii="仿宋" w:hAnsi="仿宋" w:eastAsia="仿宋" w:cs="仿宋"/>
          <w:b w:val="0"/>
          <w:bCs w:val="0"/>
          <w:sz w:val="32"/>
          <w:szCs w:val="32"/>
        </w:rPr>
        <w:fldChar w:fldCharType="end"/>
      </w:r>
    </w:p>
    <w:p>
      <w:pPr>
        <w:pStyle w:val="4"/>
        <w:keepNext w:val="0"/>
        <w:keepLines w:val="0"/>
        <w:pageBreakBefore w:val="0"/>
        <w:widowControl w:val="0"/>
        <w:tabs>
          <w:tab w:val="right" w:leader="dot" w:pos="8640"/>
          <w:tab w:val="clear" w:pos="863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_Toc26101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第三章 构建“2+4”的现代产业体系， 再造一个“新呼兰”</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_Toc8778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第一节 巩固壮大2大主导产业</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_Toc14675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第二节 培育提升4大战略性新兴产业</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_Toc971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第三节 培育产业集聚平台</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_Toc23190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第四节 完善重点产业链条</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_Toc17614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第五节 优化产业分工布局</w:t>
      </w:r>
      <w:r>
        <w:rPr>
          <w:rFonts w:hint="eastAsia" w:ascii="仿宋" w:hAnsi="仿宋" w:eastAsia="仿宋" w:cs="仿宋"/>
          <w:b w:val="0"/>
          <w:bCs w:val="0"/>
          <w:sz w:val="32"/>
          <w:szCs w:val="32"/>
        </w:rPr>
        <w:fldChar w:fldCharType="end"/>
      </w:r>
    </w:p>
    <w:p>
      <w:pPr>
        <w:pStyle w:val="4"/>
        <w:keepNext w:val="0"/>
        <w:keepLines w:val="0"/>
        <w:pageBreakBefore w:val="0"/>
        <w:widowControl w:val="0"/>
        <w:tabs>
          <w:tab w:val="right" w:leader="dot" w:pos="8640"/>
          <w:tab w:val="clear" w:pos="863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_Toc18124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pacing w:val="-4"/>
          <w:sz w:val="32"/>
          <w:szCs w:val="32"/>
        </w:rPr>
        <w:t>第四章 聚力呼兰经济复兴新动能，打造经开区新增长极</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_Toc6541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第一节 建设国家级经开区</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_Toc1801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第二节 创新发展管理模式</w:t>
      </w:r>
      <w:r>
        <w:rPr>
          <w:rFonts w:hint="eastAsia" w:ascii="仿宋" w:hAnsi="仿宋" w:eastAsia="仿宋" w:cs="仿宋"/>
          <w:b w:val="0"/>
          <w:bCs w:val="0"/>
          <w:sz w:val="32"/>
          <w:szCs w:val="32"/>
        </w:rPr>
        <w:fldChar w:fldCharType="end"/>
      </w:r>
    </w:p>
    <w:p>
      <w:pPr>
        <w:pStyle w:val="4"/>
        <w:keepNext w:val="0"/>
        <w:keepLines w:val="0"/>
        <w:pageBreakBefore w:val="0"/>
        <w:widowControl w:val="0"/>
        <w:tabs>
          <w:tab w:val="right" w:leader="dot" w:pos="8640"/>
          <w:tab w:val="clear" w:pos="863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_Toc32139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pacing w:val="-6"/>
          <w:sz w:val="32"/>
          <w:szCs w:val="32"/>
        </w:rPr>
        <w:t>第五章 推进文旅、消费产业发展，打造消费型新兴城市</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_Toc19605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第一节 壮大文旅产业消费规模</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_Toc14709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第二节 推动生活服务业提档升级</w:t>
      </w:r>
      <w:r>
        <w:rPr>
          <w:rFonts w:hint="eastAsia" w:ascii="仿宋" w:hAnsi="仿宋" w:eastAsia="仿宋" w:cs="仿宋"/>
          <w:b w:val="0"/>
          <w:bCs w:val="0"/>
          <w:sz w:val="32"/>
          <w:szCs w:val="32"/>
        </w:rPr>
        <w:fldChar w:fldCharType="end"/>
      </w:r>
    </w:p>
    <w:p>
      <w:pPr>
        <w:pStyle w:val="4"/>
        <w:keepNext w:val="0"/>
        <w:keepLines w:val="0"/>
        <w:pageBreakBefore w:val="0"/>
        <w:widowControl w:val="0"/>
        <w:tabs>
          <w:tab w:val="right" w:leader="dot" w:pos="8640"/>
          <w:tab w:val="clear" w:pos="863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_Toc20428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pacing w:val="-6"/>
          <w:sz w:val="32"/>
          <w:szCs w:val="32"/>
        </w:rPr>
        <w:t>第六章 聚焦农产品需求市场，积极推进农业现代化</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_Toc29974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第一节 进一步优化调整农业产业结构</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_Toc3774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第二节 打造保障国家粮食安全“压舱石”</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_Toc7649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第三节 着力实现农业生产组织现代化</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_Toc12818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第四节 构建呼兰现代都市农业促进三产融合</w:t>
      </w:r>
      <w:r>
        <w:rPr>
          <w:rFonts w:hint="eastAsia" w:ascii="仿宋" w:hAnsi="仿宋" w:eastAsia="仿宋" w:cs="仿宋"/>
          <w:b w:val="0"/>
          <w:bCs w:val="0"/>
          <w:sz w:val="32"/>
          <w:szCs w:val="32"/>
        </w:rPr>
        <w:fldChar w:fldCharType="end"/>
      </w:r>
    </w:p>
    <w:p>
      <w:pPr>
        <w:pStyle w:val="4"/>
        <w:keepNext w:val="0"/>
        <w:keepLines w:val="0"/>
        <w:pageBreakBefore w:val="0"/>
        <w:widowControl w:val="0"/>
        <w:tabs>
          <w:tab w:val="right" w:leader="dot" w:pos="8640"/>
          <w:tab w:val="clear" w:pos="863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_Toc28387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第七章 完善主体功能管控，建设城乡联动发展体系</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_Toc20919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第一节 构建国土空间开发保护新格局</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_Toc3347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第二节 走好城乡融合发展之路</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_Toc24680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第三节 打造全市生态宜居宜业新城区</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_Toc861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第四节 巩固拓展脱贫攻坚成果同乡村振兴有效衔接</w:t>
      </w:r>
      <w:r>
        <w:rPr>
          <w:rFonts w:hint="eastAsia" w:ascii="仿宋" w:hAnsi="仿宋" w:eastAsia="仿宋" w:cs="仿宋"/>
          <w:b w:val="0"/>
          <w:bCs w:val="0"/>
          <w:sz w:val="32"/>
          <w:szCs w:val="32"/>
        </w:rPr>
        <w:fldChar w:fldCharType="end"/>
      </w:r>
    </w:p>
    <w:p>
      <w:pPr>
        <w:pStyle w:val="4"/>
        <w:keepNext w:val="0"/>
        <w:keepLines w:val="0"/>
        <w:pageBreakBefore w:val="0"/>
        <w:widowControl w:val="0"/>
        <w:tabs>
          <w:tab w:val="right" w:leader="dot" w:pos="8640"/>
          <w:tab w:val="clear" w:pos="863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_Toc31762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第八章 对标全市现代化国际大都市建设，提升基础 设施服务功能</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_Toc994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第一节 打造互联互通的现代综合交通体系</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_Toc4760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第二节 完善城市新型基础设施配套功能</w:t>
      </w:r>
      <w:r>
        <w:rPr>
          <w:rFonts w:hint="eastAsia" w:ascii="仿宋" w:hAnsi="仿宋" w:eastAsia="仿宋" w:cs="仿宋"/>
          <w:b w:val="0"/>
          <w:bCs w:val="0"/>
          <w:sz w:val="32"/>
          <w:szCs w:val="32"/>
        </w:rPr>
        <w:fldChar w:fldCharType="end"/>
      </w:r>
    </w:p>
    <w:p>
      <w:pPr>
        <w:pStyle w:val="4"/>
        <w:keepNext w:val="0"/>
        <w:keepLines w:val="0"/>
        <w:pageBreakBefore w:val="0"/>
        <w:widowControl w:val="0"/>
        <w:tabs>
          <w:tab w:val="right" w:leader="dot" w:pos="8640"/>
          <w:tab w:val="clear" w:pos="863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_Toc16438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第九章 构建江河生态新格局，建设美丽新呼兰</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_Toc1418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第一节 持续推进生态建设</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_Toc30895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第二节 打造生态宜居环境</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_Toc3277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第三节 释放绿色发展新动能</w:t>
      </w:r>
      <w:r>
        <w:rPr>
          <w:rFonts w:hint="eastAsia" w:ascii="仿宋" w:hAnsi="仿宋" w:eastAsia="仿宋" w:cs="仿宋"/>
          <w:b w:val="0"/>
          <w:bCs w:val="0"/>
          <w:sz w:val="32"/>
          <w:szCs w:val="32"/>
        </w:rPr>
        <w:fldChar w:fldCharType="end"/>
      </w:r>
    </w:p>
    <w:p>
      <w:pPr>
        <w:pStyle w:val="4"/>
        <w:keepNext w:val="0"/>
        <w:keepLines w:val="0"/>
        <w:pageBreakBefore w:val="0"/>
        <w:widowControl w:val="0"/>
        <w:tabs>
          <w:tab w:val="right" w:leader="dot" w:pos="8640"/>
          <w:tab w:val="clear" w:pos="863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_Toc8956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第十章 完善民生保障，促进民生事业高质量发展</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_Toc22341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第一节 实现更加充分的高质量就业</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_Toc19099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第二节 推进发展教育事业</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_Toc8697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第三节 繁荣发展文化事业和文化产业</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_Toc8686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第四节 加快发展体育事业</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_Toc342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第五节 推进健康呼兰建设</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_Toc12535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第六节 完善住房保障体系</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_Toc13684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第七节 推动青年成长发展</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_Toc14093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第八节 加强妇女儿童保障</w:t>
      </w:r>
      <w:r>
        <w:rPr>
          <w:rFonts w:hint="eastAsia" w:ascii="仿宋" w:hAnsi="仿宋" w:eastAsia="仿宋" w:cs="仿宋"/>
          <w:b w:val="0"/>
          <w:bCs w:val="0"/>
          <w:sz w:val="32"/>
          <w:szCs w:val="32"/>
        </w:rPr>
        <w:fldChar w:fldCharType="end"/>
      </w:r>
    </w:p>
    <w:p>
      <w:pPr>
        <w:pStyle w:val="4"/>
        <w:keepNext w:val="0"/>
        <w:keepLines w:val="0"/>
        <w:pageBreakBefore w:val="0"/>
        <w:widowControl w:val="0"/>
        <w:tabs>
          <w:tab w:val="right" w:leader="dot" w:pos="8640"/>
          <w:tab w:val="clear" w:pos="863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_Toc27014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第十一章 持续深化改革，促进经济社会高质量发展</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_Toc16125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第一节 进一步优化营商环境</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_Toc32742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第二节 持续加强对外开放合作</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_Toc8566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第三节 创新招商方式实现精准招商</w:t>
      </w:r>
      <w:r>
        <w:rPr>
          <w:rFonts w:hint="eastAsia" w:ascii="仿宋" w:hAnsi="仿宋" w:eastAsia="仿宋" w:cs="仿宋"/>
          <w:b w:val="0"/>
          <w:bCs w:val="0"/>
          <w:sz w:val="32"/>
          <w:szCs w:val="32"/>
        </w:rPr>
        <w:fldChar w:fldCharType="end"/>
      </w:r>
    </w:p>
    <w:p>
      <w:pPr>
        <w:pStyle w:val="4"/>
        <w:keepNext w:val="0"/>
        <w:keepLines w:val="0"/>
        <w:pageBreakBefore w:val="0"/>
        <w:widowControl w:val="0"/>
        <w:tabs>
          <w:tab w:val="right" w:leader="dot" w:pos="8640"/>
          <w:tab w:val="clear" w:pos="863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_Toc22356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第十二章 巩固社会治理成效，建设更高水平 “平安呼兰”</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_Toc20413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第一节 全面提升政府执政能力</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_Toc7014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第二节 推动扫黑除恶常态化开展</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_Toc20718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第三节 筑牢安全生产防线</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_Toc314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第四节 加强公共卫生安全防控</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_Toc28249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第五节 提升应急管理能力</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_Toc6883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第六节 统筹发展和安全</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_Toc12223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第七节 维护社会和谐稳定</w:t>
      </w:r>
      <w:r>
        <w:rPr>
          <w:rFonts w:hint="eastAsia" w:ascii="仿宋" w:hAnsi="仿宋" w:eastAsia="仿宋" w:cs="仿宋"/>
          <w:b w:val="0"/>
          <w:bCs w:val="0"/>
          <w:sz w:val="32"/>
          <w:szCs w:val="32"/>
        </w:rPr>
        <w:fldChar w:fldCharType="end"/>
      </w:r>
    </w:p>
    <w:p>
      <w:pPr>
        <w:pStyle w:val="4"/>
        <w:keepNext w:val="0"/>
        <w:keepLines w:val="0"/>
        <w:pageBreakBefore w:val="0"/>
        <w:widowControl w:val="0"/>
        <w:tabs>
          <w:tab w:val="right" w:leader="dot" w:pos="8640"/>
          <w:tab w:val="clear" w:pos="863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_Toc32562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第十三章 强化规划保障，把目标任务落到实处</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_Toc3701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第一节 强化规划实施的组织领导</w:t>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_Toc12483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第二节 落实规划实施的支撑保障</w:t>
      </w:r>
      <w:r>
        <w:rPr>
          <w:rFonts w:hint="eastAsia" w:ascii="仿宋" w:hAnsi="仿宋" w:eastAsia="仿宋" w:cs="仿宋"/>
          <w:b w:val="0"/>
          <w:bCs w:val="0"/>
          <w:sz w:val="32"/>
          <w:szCs w:val="32"/>
        </w:rPr>
        <w:fldChar w:fldCharType="end"/>
      </w:r>
    </w:p>
    <w:p>
      <w:pPr>
        <w:keepNext w:val="0"/>
        <w:keepLines w:val="0"/>
        <w:pageBreakBefore w:val="0"/>
        <w:widowControl w:val="0"/>
        <w:kinsoku/>
        <w:wordWrap/>
        <w:overflowPunct/>
        <w:topLinePunct w:val="0"/>
        <w:bidi w:val="0"/>
        <w:spacing w:line="600" w:lineRule="exact"/>
        <w:ind w:left="0"/>
        <w:jc w:val="both"/>
        <w:textAlignment w:val="auto"/>
        <w:rPr>
          <w:b w:val="0"/>
          <w:bCs w:val="0"/>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_Toc16067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第三节 开展规划实施的监督评估</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end"/>
      </w:r>
    </w:p>
    <w:p>
      <w:pPr>
        <w:pStyle w:val="5"/>
        <w:keepNext w:val="0"/>
        <w:keepLines w:val="0"/>
        <w:pageBreakBefore w:val="0"/>
        <w:widowControl w:val="0"/>
        <w:tabs>
          <w:tab w:val="right" w:leader="dot" w:pos="8640"/>
        </w:tabs>
        <w:kinsoku/>
        <w:wordWrap/>
        <w:overflowPunct/>
        <w:topLinePunct w:val="0"/>
        <w:bidi w:val="0"/>
        <w:spacing w:line="600" w:lineRule="exact"/>
        <w:ind w:left="0" w:leftChars="0"/>
        <w:jc w:val="both"/>
        <w:textAlignment w:val="auto"/>
        <w:rPr>
          <w:b w:val="0"/>
          <w:bCs w:val="0"/>
        </w:rPr>
      </w:pPr>
    </w:p>
    <w:p>
      <w:pPr>
        <w:keepNext w:val="0"/>
        <w:keepLines w:val="0"/>
        <w:pageBreakBefore w:val="0"/>
        <w:widowControl w:val="0"/>
        <w:kinsoku/>
        <w:wordWrap/>
        <w:overflowPunct/>
        <w:topLinePunct w:val="0"/>
        <w:bidi w:val="0"/>
        <w:spacing w:line="600" w:lineRule="exact"/>
        <w:ind w:left="0"/>
        <w:jc w:val="both"/>
        <w:textAlignment w:val="auto"/>
        <w:rPr>
          <w:rFonts w:hint="eastAsia" w:ascii="华文中宋" w:hAnsi="华文中宋" w:eastAsia="华文中宋" w:cs="宋体"/>
          <w:b w:val="0"/>
          <w:bCs w:val="0"/>
          <w:szCs w:val="24"/>
        </w:rPr>
      </w:pPr>
      <w:r>
        <w:rPr>
          <w:rFonts w:hint="eastAsia" w:ascii="华文中宋" w:hAnsi="华文中宋" w:eastAsia="华文中宋" w:cs="宋体"/>
          <w:b w:val="0"/>
          <w:bCs w:val="0"/>
          <w:szCs w:val="24"/>
        </w:rPr>
        <w:fldChar w:fldCharType="end"/>
      </w:r>
    </w:p>
    <w:p>
      <w:pPr>
        <w:keepNext w:val="0"/>
        <w:keepLines w:val="0"/>
        <w:pageBreakBefore w:val="0"/>
        <w:widowControl w:val="0"/>
        <w:kinsoku/>
        <w:wordWrap/>
        <w:overflowPunct/>
        <w:topLinePunct w:val="0"/>
        <w:bidi w:val="0"/>
        <w:spacing w:line="600" w:lineRule="exact"/>
        <w:ind w:left="0"/>
        <w:jc w:val="both"/>
        <w:textAlignment w:val="auto"/>
        <w:rPr>
          <w:rFonts w:hint="eastAsia" w:ascii="华文中宋" w:hAnsi="华文中宋" w:eastAsia="华文中宋" w:cs="宋体"/>
          <w:b w:val="0"/>
          <w:bCs w:val="0"/>
          <w:szCs w:val="24"/>
        </w:rPr>
      </w:pPr>
    </w:p>
    <w:p>
      <w:pPr>
        <w:keepNext w:val="0"/>
        <w:keepLines w:val="0"/>
        <w:pageBreakBefore w:val="0"/>
        <w:widowControl w:val="0"/>
        <w:kinsoku/>
        <w:wordWrap/>
        <w:overflowPunct/>
        <w:topLinePunct w:val="0"/>
        <w:bidi w:val="0"/>
        <w:spacing w:line="600" w:lineRule="exact"/>
        <w:ind w:left="0"/>
        <w:jc w:val="both"/>
        <w:textAlignment w:val="auto"/>
        <w:rPr>
          <w:rFonts w:hint="eastAsia" w:ascii="华文中宋" w:hAnsi="华文中宋" w:eastAsia="华文中宋" w:cs="宋体"/>
          <w:b w:val="0"/>
          <w:bCs w:val="0"/>
          <w:szCs w:val="24"/>
        </w:rPr>
      </w:pPr>
    </w:p>
    <w:p>
      <w:pPr>
        <w:keepNext w:val="0"/>
        <w:keepLines w:val="0"/>
        <w:pageBreakBefore w:val="0"/>
        <w:widowControl w:val="0"/>
        <w:kinsoku/>
        <w:wordWrap/>
        <w:overflowPunct/>
        <w:topLinePunct w:val="0"/>
        <w:bidi w:val="0"/>
        <w:spacing w:line="600" w:lineRule="exact"/>
        <w:ind w:left="0"/>
        <w:jc w:val="both"/>
        <w:textAlignment w:val="auto"/>
        <w:rPr>
          <w:rFonts w:hint="eastAsia" w:ascii="华文中宋" w:hAnsi="华文中宋" w:eastAsia="华文中宋" w:cs="宋体"/>
          <w:b w:val="0"/>
          <w:bCs w:val="0"/>
          <w:szCs w:val="24"/>
        </w:rPr>
      </w:pPr>
    </w:p>
    <w:p>
      <w:pPr>
        <w:keepNext w:val="0"/>
        <w:keepLines w:val="0"/>
        <w:pageBreakBefore w:val="0"/>
        <w:widowControl w:val="0"/>
        <w:kinsoku/>
        <w:wordWrap/>
        <w:overflowPunct/>
        <w:topLinePunct w:val="0"/>
        <w:bidi w:val="0"/>
        <w:spacing w:line="600" w:lineRule="exact"/>
        <w:ind w:left="0"/>
        <w:jc w:val="both"/>
        <w:textAlignment w:val="auto"/>
        <w:rPr>
          <w:rFonts w:hint="eastAsia" w:ascii="华文中宋" w:hAnsi="华文中宋" w:eastAsia="华文中宋" w:cs="宋体"/>
          <w:b w:val="0"/>
          <w:bCs w:val="0"/>
          <w:szCs w:val="24"/>
        </w:rPr>
      </w:pPr>
    </w:p>
    <w:p>
      <w:pPr>
        <w:keepNext w:val="0"/>
        <w:keepLines w:val="0"/>
        <w:pageBreakBefore w:val="0"/>
        <w:widowControl w:val="0"/>
        <w:kinsoku/>
        <w:wordWrap/>
        <w:overflowPunct/>
        <w:topLinePunct w:val="0"/>
        <w:bidi w:val="0"/>
        <w:spacing w:line="600" w:lineRule="exact"/>
        <w:ind w:left="0"/>
        <w:jc w:val="both"/>
        <w:textAlignment w:val="auto"/>
        <w:rPr>
          <w:rFonts w:hint="eastAsia" w:ascii="华文中宋" w:hAnsi="华文中宋" w:eastAsia="华文中宋" w:cs="宋体"/>
          <w:b w:val="0"/>
          <w:bCs w:val="0"/>
          <w:szCs w:val="24"/>
        </w:rPr>
      </w:pPr>
    </w:p>
    <w:p>
      <w:pPr>
        <w:keepNext w:val="0"/>
        <w:keepLines w:val="0"/>
        <w:pageBreakBefore w:val="0"/>
        <w:widowControl w:val="0"/>
        <w:kinsoku/>
        <w:wordWrap/>
        <w:overflowPunct/>
        <w:topLinePunct w:val="0"/>
        <w:bidi w:val="0"/>
        <w:spacing w:line="600" w:lineRule="exact"/>
        <w:ind w:left="0"/>
        <w:jc w:val="both"/>
        <w:textAlignment w:val="auto"/>
        <w:rPr>
          <w:rFonts w:hint="eastAsia" w:ascii="华文中宋" w:hAnsi="华文中宋" w:eastAsia="华文中宋" w:cs="宋体"/>
          <w:b w:val="0"/>
          <w:bCs w:val="0"/>
          <w:szCs w:val="24"/>
        </w:rPr>
      </w:pPr>
    </w:p>
    <w:p>
      <w:pPr>
        <w:keepNext w:val="0"/>
        <w:keepLines w:val="0"/>
        <w:pageBreakBefore w:val="0"/>
        <w:widowControl w:val="0"/>
        <w:kinsoku/>
        <w:wordWrap/>
        <w:overflowPunct/>
        <w:topLinePunct w:val="0"/>
        <w:bidi w:val="0"/>
        <w:spacing w:line="600" w:lineRule="exact"/>
        <w:ind w:left="0"/>
        <w:jc w:val="both"/>
        <w:textAlignment w:val="auto"/>
        <w:rPr>
          <w:rFonts w:hint="eastAsia" w:ascii="华文中宋" w:hAnsi="华文中宋" w:eastAsia="华文中宋" w:cs="宋体"/>
          <w:b w:val="0"/>
          <w:bCs w:val="0"/>
          <w:szCs w:val="24"/>
        </w:rPr>
      </w:pPr>
    </w:p>
    <w:p>
      <w:pPr>
        <w:keepNext w:val="0"/>
        <w:keepLines w:val="0"/>
        <w:pageBreakBefore w:val="0"/>
        <w:widowControl w:val="0"/>
        <w:kinsoku/>
        <w:wordWrap/>
        <w:overflowPunct/>
        <w:topLinePunct w:val="0"/>
        <w:bidi w:val="0"/>
        <w:spacing w:line="600" w:lineRule="exact"/>
        <w:ind w:left="0"/>
        <w:jc w:val="both"/>
        <w:textAlignment w:val="auto"/>
        <w:rPr>
          <w:rFonts w:hint="eastAsia" w:ascii="华文中宋" w:hAnsi="华文中宋" w:eastAsia="华文中宋" w:cs="宋体"/>
          <w:b w:val="0"/>
          <w:bCs w:val="0"/>
          <w:szCs w:val="24"/>
        </w:rPr>
      </w:pPr>
    </w:p>
    <w:p>
      <w:pPr>
        <w:keepNext w:val="0"/>
        <w:keepLines w:val="0"/>
        <w:pageBreakBefore w:val="0"/>
        <w:widowControl w:val="0"/>
        <w:kinsoku/>
        <w:wordWrap/>
        <w:overflowPunct/>
        <w:topLinePunct w:val="0"/>
        <w:bidi w:val="0"/>
        <w:spacing w:line="600" w:lineRule="exact"/>
        <w:ind w:left="0"/>
        <w:jc w:val="both"/>
        <w:textAlignment w:val="auto"/>
        <w:rPr>
          <w:rFonts w:hint="eastAsia" w:ascii="华文中宋" w:hAnsi="华文中宋" w:eastAsia="华文中宋" w:cs="宋体"/>
          <w:b w:val="0"/>
          <w:bCs w:val="0"/>
          <w:szCs w:val="24"/>
        </w:rPr>
      </w:pPr>
    </w:p>
    <w:p>
      <w:pPr>
        <w:keepNext w:val="0"/>
        <w:keepLines w:val="0"/>
        <w:pageBreakBefore w:val="0"/>
        <w:widowControl w:val="0"/>
        <w:kinsoku/>
        <w:wordWrap/>
        <w:overflowPunct/>
        <w:topLinePunct w:val="0"/>
        <w:bidi w:val="0"/>
        <w:spacing w:line="600" w:lineRule="exact"/>
        <w:ind w:left="0"/>
        <w:jc w:val="both"/>
        <w:textAlignment w:val="auto"/>
        <w:rPr>
          <w:rFonts w:hint="eastAsia" w:ascii="华文中宋" w:hAnsi="华文中宋" w:eastAsia="华文中宋" w:cs="宋体"/>
          <w:b w:val="0"/>
          <w:bCs w:val="0"/>
          <w:szCs w:val="24"/>
        </w:rPr>
      </w:pPr>
    </w:p>
    <w:p>
      <w:pPr>
        <w:keepNext w:val="0"/>
        <w:keepLines w:val="0"/>
        <w:pageBreakBefore w:val="0"/>
        <w:widowControl w:val="0"/>
        <w:kinsoku/>
        <w:wordWrap/>
        <w:overflowPunct/>
        <w:topLinePunct w:val="0"/>
        <w:bidi w:val="0"/>
        <w:spacing w:line="600" w:lineRule="exact"/>
        <w:ind w:left="0"/>
        <w:jc w:val="both"/>
        <w:textAlignment w:val="auto"/>
        <w:rPr>
          <w:rFonts w:hint="eastAsia" w:ascii="华文中宋" w:hAnsi="华文中宋" w:eastAsia="华文中宋" w:cs="宋体"/>
          <w:b w:val="0"/>
          <w:bCs w:val="0"/>
          <w:szCs w:val="24"/>
        </w:rPr>
      </w:pPr>
    </w:p>
    <w:p>
      <w:pPr>
        <w:keepNext w:val="0"/>
        <w:keepLines w:val="0"/>
        <w:pageBreakBefore w:val="0"/>
        <w:widowControl w:val="0"/>
        <w:kinsoku/>
        <w:wordWrap/>
        <w:overflowPunct/>
        <w:topLinePunct w:val="0"/>
        <w:bidi w:val="0"/>
        <w:spacing w:line="600" w:lineRule="exact"/>
        <w:ind w:left="0"/>
        <w:jc w:val="both"/>
        <w:textAlignment w:val="auto"/>
        <w:rPr>
          <w:rFonts w:hint="eastAsia" w:ascii="华文中宋" w:hAnsi="华文中宋" w:eastAsia="华文中宋" w:cs="宋体"/>
          <w:b w:val="0"/>
          <w:bCs w:val="0"/>
          <w:szCs w:val="24"/>
        </w:rPr>
      </w:pPr>
    </w:p>
    <w:p>
      <w:pPr>
        <w:keepNext w:val="0"/>
        <w:keepLines w:val="0"/>
        <w:pageBreakBefore w:val="0"/>
        <w:widowControl w:val="0"/>
        <w:kinsoku/>
        <w:wordWrap/>
        <w:overflowPunct/>
        <w:topLinePunct w:val="0"/>
        <w:bidi w:val="0"/>
        <w:spacing w:line="600" w:lineRule="exact"/>
        <w:ind w:left="0"/>
        <w:jc w:val="both"/>
        <w:textAlignment w:val="auto"/>
        <w:rPr>
          <w:rFonts w:hint="eastAsia" w:ascii="华文中宋" w:hAnsi="华文中宋" w:eastAsia="华文中宋" w:cs="宋体"/>
          <w:b w:val="0"/>
          <w:bCs w:val="0"/>
          <w:szCs w:val="24"/>
        </w:rPr>
      </w:pPr>
    </w:p>
    <w:p>
      <w:pPr>
        <w:keepNext w:val="0"/>
        <w:keepLines w:val="0"/>
        <w:pageBreakBefore w:val="0"/>
        <w:widowControl w:val="0"/>
        <w:kinsoku/>
        <w:wordWrap/>
        <w:overflowPunct/>
        <w:topLinePunct w:val="0"/>
        <w:bidi w:val="0"/>
        <w:spacing w:line="600" w:lineRule="exact"/>
        <w:ind w:left="0"/>
        <w:jc w:val="both"/>
        <w:textAlignment w:val="auto"/>
        <w:rPr>
          <w:rFonts w:hint="eastAsia" w:ascii="华文中宋" w:hAnsi="华文中宋" w:eastAsia="华文中宋" w:cs="宋体"/>
          <w:b w:val="0"/>
          <w:bCs w:val="0"/>
          <w:szCs w:val="24"/>
        </w:rPr>
      </w:pPr>
    </w:p>
    <w:p>
      <w:pPr>
        <w:keepNext w:val="0"/>
        <w:keepLines w:val="0"/>
        <w:pageBreakBefore w:val="0"/>
        <w:widowControl w:val="0"/>
        <w:kinsoku/>
        <w:wordWrap/>
        <w:overflowPunct/>
        <w:topLinePunct w:val="0"/>
        <w:bidi w:val="0"/>
        <w:spacing w:line="600" w:lineRule="exact"/>
        <w:ind w:left="0"/>
        <w:jc w:val="both"/>
        <w:textAlignment w:val="auto"/>
        <w:rPr>
          <w:rFonts w:hint="eastAsia" w:ascii="华文中宋" w:hAnsi="华文中宋" w:eastAsia="华文中宋" w:cs="宋体"/>
          <w:b w:val="0"/>
          <w:bCs w:val="0"/>
          <w:szCs w:val="24"/>
        </w:rPr>
      </w:pPr>
    </w:p>
    <w:p>
      <w:pPr>
        <w:keepNext w:val="0"/>
        <w:keepLines w:val="0"/>
        <w:pageBreakBefore w:val="0"/>
        <w:widowControl w:val="0"/>
        <w:kinsoku/>
        <w:wordWrap/>
        <w:overflowPunct/>
        <w:topLinePunct w:val="0"/>
        <w:bidi w:val="0"/>
        <w:spacing w:line="600" w:lineRule="exact"/>
        <w:ind w:left="0"/>
        <w:jc w:val="both"/>
        <w:textAlignment w:val="auto"/>
        <w:rPr>
          <w:rFonts w:hint="eastAsia" w:ascii="华文中宋" w:hAnsi="华文中宋" w:eastAsia="华文中宋" w:cs="宋体"/>
          <w:b w:val="0"/>
          <w:bCs w:val="0"/>
          <w:szCs w:val="24"/>
        </w:rPr>
      </w:pPr>
    </w:p>
    <w:p>
      <w:pPr>
        <w:keepNext w:val="0"/>
        <w:keepLines w:val="0"/>
        <w:pageBreakBefore w:val="0"/>
        <w:widowControl w:val="0"/>
        <w:kinsoku/>
        <w:wordWrap/>
        <w:overflowPunct/>
        <w:topLinePunct w:val="0"/>
        <w:bidi w:val="0"/>
        <w:spacing w:line="600" w:lineRule="exact"/>
        <w:ind w:left="0"/>
        <w:jc w:val="both"/>
        <w:textAlignment w:val="auto"/>
        <w:rPr>
          <w:rFonts w:hint="eastAsia" w:ascii="华文中宋" w:hAnsi="华文中宋" w:eastAsia="华文中宋" w:cs="宋体"/>
          <w:b w:val="0"/>
          <w:bCs w:val="0"/>
          <w:szCs w:val="24"/>
        </w:rPr>
      </w:pPr>
    </w:p>
    <w:p>
      <w:pPr>
        <w:keepNext w:val="0"/>
        <w:keepLines w:val="0"/>
        <w:pageBreakBefore w:val="0"/>
        <w:widowControl w:val="0"/>
        <w:kinsoku/>
        <w:wordWrap/>
        <w:overflowPunct/>
        <w:topLinePunct w:val="0"/>
        <w:bidi w:val="0"/>
        <w:spacing w:line="600" w:lineRule="exact"/>
        <w:ind w:left="0"/>
        <w:jc w:val="both"/>
        <w:textAlignment w:val="auto"/>
        <w:rPr>
          <w:rFonts w:hint="eastAsia" w:ascii="华文中宋" w:hAnsi="华文中宋" w:eastAsia="华文中宋" w:cs="宋体"/>
          <w:b w:val="0"/>
          <w:bCs w:val="0"/>
          <w:szCs w:val="24"/>
        </w:rPr>
      </w:pPr>
    </w:p>
    <w:p>
      <w:pPr>
        <w:keepNext w:val="0"/>
        <w:keepLines w:val="0"/>
        <w:pageBreakBefore w:val="0"/>
        <w:widowControl w:val="0"/>
        <w:kinsoku/>
        <w:wordWrap/>
        <w:overflowPunct/>
        <w:topLinePunct w:val="0"/>
        <w:autoSpaceDE w:val="0"/>
        <w:autoSpaceDN w:val="0"/>
        <w:bidi w:val="0"/>
        <w:spacing w:line="600" w:lineRule="exact"/>
        <w:ind w:left="0" w:firstLine="640" w:firstLineChars="200"/>
        <w:jc w:val="both"/>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十四五”时期是我国全面建成小康社会、实现第一个百年奋斗目标之后，乘势而上开启全面建设社会主义现代化国家新征程、向第二个百年奋斗目标进军的第一个五年。以习近平新时代中国特色社会主义思想为指导，科学编制并有效实施《呼兰区国民经济和社会发展第十四个五年规划纲要》，对于巩固全面建成小康社会成果，推动我区实现高质量、跨越式发展,全面振兴全方位振兴具有重要意义。本纲要依据中共中央、中共黑龙江省委、哈尔滨市委、呼兰区委制定的《国民经济和社会发展第十四个五年规划和二</w:t>
      </w:r>
      <w:r>
        <w:rPr>
          <w:rFonts w:hint="eastAsia" w:ascii="仿宋_GB2312" w:hAnsi="微软雅黑" w:eastAsia="微软雅黑" w:cs="微软雅黑"/>
          <w:b w:val="0"/>
          <w:bCs w:val="0"/>
          <w:sz w:val="32"/>
          <w:szCs w:val="32"/>
        </w:rPr>
        <w:t>〇</w:t>
      </w:r>
      <w:r>
        <w:rPr>
          <w:rFonts w:hint="eastAsia" w:ascii="仿宋_GB2312" w:hAnsi="仿宋_GB2312" w:eastAsia="仿宋_GB2312" w:cs="仿宋_GB2312"/>
          <w:b w:val="0"/>
          <w:bCs w:val="0"/>
          <w:sz w:val="32"/>
          <w:szCs w:val="32"/>
        </w:rPr>
        <w:t>三五年远景目标建议》编制，是今后五年呼兰经济和社会发展的宏伟蓝图</w:t>
      </w:r>
      <w:r>
        <w:rPr>
          <w:rFonts w:hint="eastAsia" w:ascii="仿宋_GB2312" w:hAnsi="仿宋" w:eastAsia="仿宋_GB2312" w:cs="仿宋"/>
          <w:b w:val="0"/>
          <w:bCs w:val="0"/>
          <w:sz w:val="32"/>
          <w:szCs w:val="32"/>
        </w:rPr>
        <w:t>，是全区人民共同奋斗的行动纲领，是政府履行经济调节、市场监管、社会管理和公共服务职责的重要依据。</w:t>
      </w:r>
    </w:p>
    <w:p>
      <w:pPr>
        <w:pStyle w:val="2"/>
        <w:rPr>
          <w:rFonts w:hint="eastAsia" w:ascii="仿宋_GB2312" w:hAnsi="仿宋" w:eastAsia="仿宋_GB2312" w:cs="仿宋"/>
          <w:b w:val="0"/>
          <w:bCs w:val="0"/>
          <w:sz w:val="32"/>
          <w:szCs w:val="32"/>
        </w:rPr>
      </w:pPr>
    </w:p>
    <w:p>
      <w:pPr>
        <w:rPr>
          <w:rFonts w:hint="eastAsia" w:ascii="仿宋_GB2312" w:hAnsi="仿宋" w:eastAsia="仿宋_GB2312" w:cs="仿宋"/>
          <w:b w:val="0"/>
          <w:bCs w:val="0"/>
          <w:sz w:val="32"/>
          <w:szCs w:val="32"/>
        </w:rPr>
      </w:pPr>
    </w:p>
    <w:p>
      <w:pPr>
        <w:pStyle w:val="2"/>
        <w:rPr>
          <w:rFonts w:hint="eastAsia" w:ascii="仿宋_GB2312" w:hAnsi="仿宋" w:eastAsia="仿宋_GB2312" w:cs="仿宋"/>
          <w:b w:val="0"/>
          <w:bCs w:val="0"/>
          <w:sz w:val="32"/>
          <w:szCs w:val="32"/>
        </w:rPr>
      </w:pPr>
    </w:p>
    <w:p>
      <w:pPr>
        <w:rPr>
          <w:rFonts w:hint="eastAsia" w:ascii="仿宋_GB2312" w:hAnsi="仿宋" w:eastAsia="仿宋_GB2312" w:cs="仿宋"/>
          <w:b w:val="0"/>
          <w:bCs w:val="0"/>
          <w:sz w:val="32"/>
          <w:szCs w:val="32"/>
        </w:rPr>
      </w:pPr>
    </w:p>
    <w:p>
      <w:pPr>
        <w:pStyle w:val="2"/>
        <w:rPr>
          <w:rFonts w:hint="eastAsia" w:ascii="仿宋_GB2312" w:hAnsi="仿宋" w:eastAsia="仿宋_GB2312" w:cs="仿宋"/>
          <w:b w:val="0"/>
          <w:bCs w:val="0"/>
          <w:sz w:val="32"/>
          <w:szCs w:val="32"/>
        </w:rPr>
      </w:pPr>
    </w:p>
    <w:p>
      <w:pPr>
        <w:rPr>
          <w:rFonts w:hint="eastAsia" w:ascii="仿宋_GB2312" w:hAnsi="仿宋" w:eastAsia="仿宋_GB2312" w:cs="仿宋"/>
          <w:b w:val="0"/>
          <w:bCs w:val="0"/>
          <w:sz w:val="32"/>
          <w:szCs w:val="32"/>
        </w:rPr>
      </w:pPr>
    </w:p>
    <w:p>
      <w:pPr>
        <w:pStyle w:val="2"/>
        <w:rPr>
          <w:rFonts w:hint="eastAsia" w:ascii="仿宋_GB2312" w:hAnsi="仿宋" w:eastAsia="仿宋_GB2312" w:cs="仿宋"/>
          <w:b w:val="0"/>
          <w:bCs w:val="0"/>
          <w:sz w:val="32"/>
          <w:szCs w:val="32"/>
        </w:rPr>
      </w:pPr>
    </w:p>
    <w:p>
      <w:pPr>
        <w:rPr>
          <w:rFonts w:hint="eastAsia" w:ascii="仿宋_GB2312" w:hAnsi="仿宋" w:eastAsia="仿宋_GB2312" w:cs="仿宋"/>
          <w:b w:val="0"/>
          <w:bCs w:val="0"/>
          <w:sz w:val="32"/>
          <w:szCs w:val="32"/>
        </w:rPr>
      </w:pPr>
    </w:p>
    <w:p>
      <w:pPr>
        <w:pStyle w:val="2"/>
        <w:rPr>
          <w:rFonts w:hint="eastAsia" w:ascii="仿宋_GB2312" w:hAnsi="仿宋" w:eastAsia="仿宋_GB2312" w:cs="仿宋"/>
          <w:b w:val="0"/>
          <w:bCs w:val="0"/>
          <w:sz w:val="32"/>
          <w:szCs w:val="32"/>
        </w:rPr>
      </w:pPr>
    </w:p>
    <w:p>
      <w:pPr>
        <w:keepNext w:val="0"/>
        <w:keepLines w:val="0"/>
        <w:pageBreakBefore w:val="0"/>
        <w:widowControl w:val="0"/>
        <w:numPr>
          <w:ilvl w:val="0"/>
          <w:numId w:val="1"/>
        </w:numPr>
        <w:kinsoku/>
        <w:wordWrap/>
        <w:overflowPunct/>
        <w:topLinePunct w:val="0"/>
        <w:bidi w:val="0"/>
        <w:spacing w:line="600" w:lineRule="exact"/>
        <w:ind w:left="0" w:hanging="1120" w:hangingChars="350"/>
        <w:jc w:val="center"/>
        <w:textAlignment w:val="auto"/>
        <w:outlineLvl w:val="0"/>
        <w:rPr>
          <w:rFonts w:hint="eastAsia" w:ascii="黑体" w:hAnsi="黑体" w:eastAsia="黑体" w:cs="黑体"/>
          <w:b w:val="0"/>
          <w:bCs w:val="0"/>
          <w:sz w:val="32"/>
          <w:szCs w:val="32"/>
        </w:rPr>
      </w:pPr>
      <w:bookmarkStart w:id="0" w:name="_Toc49"/>
      <w:r>
        <w:rPr>
          <w:rFonts w:hint="eastAsia" w:ascii="黑体" w:hAnsi="黑体" w:eastAsia="黑体" w:cs="黑体"/>
          <w:b w:val="0"/>
          <w:bCs w:val="0"/>
          <w:sz w:val="32"/>
          <w:szCs w:val="32"/>
        </w:rPr>
        <w:t>“十三五”时期发展成就</w:t>
      </w:r>
    </w:p>
    <w:p>
      <w:pPr>
        <w:keepNext w:val="0"/>
        <w:keepLines w:val="0"/>
        <w:pageBreakBefore w:val="0"/>
        <w:widowControl w:val="0"/>
        <w:numPr>
          <w:ilvl w:val="0"/>
          <w:numId w:val="0"/>
        </w:numPr>
        <w:kinsoku/>
        <w:wordWrap/>
        <w:overflowPunct/>
        <w:topLinePunct w:val="0"/>
        <w:bidi w:val="0"/>
        <w:spacing w:line="600" w:lineRule="exact"/>
        <w:ind w:leftChars="-350"/>
        <w:jc w:val="center"/>
        <w:textAlignment w:val="auto"/>
        <w:outlineLvl w:val="0"/>
        <w:rPr>
          <w:rFonts w:hint="eastAsia" w:ascii="仿宋_GB2312" w:hAnsi="仿宋" w:eastAsia="仿宋_GB2312" w:cs="仿宋"/>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与“十四五”时期面临环境</w:t>
      </w:r>
      <w:bookmarkEnd w:id="0"/>
    </w:p>
    <w:p>
      <w:pPr>
        <w:keepNext w:val="0"/>
        <w:keepLines w:val="0"/>
        <w:pageBreakBefore w:val="0"/>
        <w:widowControl w:val="0"/>
        <w:kinsoku/>
        <w:wordWrap/>
        <w:overflowPunct/>
        <w:topLinePunct w:val="0"/>
        <w:bidi w:val="0"/>
        <w:spacing w:line="600" w:lineRule="exact"/>
        <w:ind w:left="0" w:firstLine="640" w:firstLineChars="200"/>
        <w:jc w:val="both"/>
        <w:textAlignment w:val="auto"/>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十三五”时期，呼兰区面临错综复杂的经济环境和艰巨繁重的改革发展稳定任务。全区上下，特别是新一届区委坚持以习近平新时代中国特色社会主义思想为指导，全面贯彻党的十八大、十九大和十九届二中、三中、四中、五中全会精神，深入落实习近平总书记在推进东北振兴座谈会上的重要讲话和对我省重要讲话重要指示批示精神，认真执行中央和省、市委决策部署，落实“八字方针”，加快推进“六个强省”。全力做好“六稳”工作，落实“六保”任务，转方式调结构增动能，补短板强弱项促提升，战疫情与保发展相兼顾，各方面工作取得积极进展，基本实现了“十三五”规划主要目标任务，为“十四五”乃至更长时期发展奠定了坚实基础。</w:t>
      </w:r>
    </w:p>
    <w:p>
      <w:pPr>
        <w:keepNext w:val="0"/>
        <w:keepLines w:val="0"/>
        <w:pageBreakBefore w:val="0"/>
        <w:widowControl w:val="0"/>
        <w:numPr>
          <w:ilvl w:val="0"/>
          <w:numId w:val="0"/>
        </w:numPr>
        <w:kinsoku/>
        <w:wordWrap/>
        <w:overflowPunct/>
        <w:topLinePunct w:val="0"/>
        <w:bidi w:val="0"/>
        <w:spacing w:line="600" w:lineRule="exact"/>
        <w:ind w:leftChars="-350" w:firstLine="1920" w:firstLineChars="600"/>
        <w:jc w:val="both"/>
        <w:textAlignment w:val="auto"/>
        <w:outlineLvl w:val="0"/>
        <w:rPr>
          <w:rFonts w:hint="eastAsia" w:ascii="黑体" w:hAnsi="黑体" w:eastAsia="黑体" w:cs="黑体"/>
          <w:b w:val="0"/>
          <w:bCs w:val="0"/>
          <w:sz w:val="32"/>
          <w:szCs w:val="32"/>
        </w:rPr>
      </w:pPr>
      <w:bookmarkStart w:id="1" w:name="_Toc26784"/>
      <w:r>
        <w:rPr>
          <w:rFonts w:hint="eastAsia" w:ascii="黑体" w:hAnsi="黑体" w:eastAsia="黑体" w:cs="黑体"/>
          <w:b w:val="0"/>
          <w:bCs w:val="0"/>
          <w:sz w:val="32"/>
          <w:szCs w:val="32"/>
        </w:rPr>
        <w:t>第一节 决胜全面建成小康社会取得的新成效</w:t>
      </w:r>
      <w:bookmarkEnd w:id="1"/>
    </w:p>
    <w:p>
      <w:pPr>
        <w:keepNext w:val="0"/>
        <w:keepLines w:val="0"/>
        <w:pageBreakBefore w:val="0"/>
        <w:widowControl w:val="0"/>
        <w:kinsoku/>
        <w:wordWrap/>
        <w:overflowPunct/>
        <w:topLinePunct w:val="0"/>
        <w:autoSpaceDE w:val="0"/>
        <w:autoSpaceDN w:val="0"/>
        <w:bidi w:val="0"/>
        <w:spacing w:line="600" w:lineRule="exact"/>
        <w:ind w:left="0" w:firstLine="640" w:firstLineChars="200"/>
        <w:jc w:val="both"/>
        <w:textAlignment w:val="auto"/>
        <w:rPr>
          <w:b w:val="0"/>
          <w:bCs w:val="0"/>
        </w:rPr>
      </w:pPr>
      <w:r>
        <w:rPr>
          <w:rFonts w:hint="eastAsia" w:ascii="楷体" w:hAnsi="楷体" w:eastAsia="楷体" w:cs="仿宋"/>
          <w:b w:val="0"/>
          <w:bCs w:val="0"/>
          <w:sz w:val="32"/>
          <w:szCs w:val="32"/>
        </w:rPr>
        <w:t>——经济振兴基础稳步提升。</w:t>
      </w:r>
      <w:r>
        <w:rPr>
          <w:rFonts w:hint="eastAsia" w:ascii="仿宋_GB2312" w:hAnsi="楷体" w:eastAsia="仿宋_GB2312" w:cs="仿宋"/>
          <w:b w:val="0"/>
          <w:bCs w:val="0"/>
          <w:sz w:val="32"/>
          <w:szCs w:val="32"/>
        </w:rPr>
        <w:t>“</w:t>
      </w:r>
      <w:r>
        <w:rPr>
          <w:rFonts w:hint="eastAsia" w:ascii="仿宋_GB2312" w:hAnsi="仿宋" w:eastAsia="仿宋_GB2312" w:cs="仿宋"/>
          <w:b w:val="0"/>
          <w:bCs w:val="0"/>
          <w:sz w:val="32"/>
          <w:szCs w:val="32"/>
        </w:rPr>
        <w:t>十三五</w:t>
      </w:r>
      <w:r>
        <w:rPr>
          <w:rFonts w:hint="eastAsia" w:ascii="仿宋_GB2312" w:hAnsi="楷体" w:eastAsia="仿宋_GB2312" w:cs="仿宋"/>
          <w:b w:val="0"/>
          <w:bCs w:val="0"/>
          <w:sz w:val="32"/>
          <w:szCs w:val="32"/>
        </w:rPr>
        <w:t>”</w:t>
      </w:r>
      <w:r>
        <w:rPr>
          <w:rFonts w:hint="eastAsia" w:ascii="仿宋_GB2312" w:hAnsi="仿宋" w:eastAsia="仿宋_GB2312" w:cs="仿宋"/>
          <w:b w:val="0"/>
          <w:bCs w:val="0"/>
          <w:sz w:val="32"/>
          <w:szCs w:val="32"/>
        </w:rPr>
        <w:t>期间，高质高效完成利民开发区托管交接任务。托管前，利民开发区经济一直保持持续、快速、健康增长，经济总量逐年递增，综合实力不断增强，为省、市、区经济社会发展做出了重大贡献。托管完成后，经济触底反弹，特别是在疫情防控期间，GDP增速率先实现正增长。</w:t>
      </w:r>
    </w:p>
    <w:p>
      <w:pPr>
        <w:keepNext w:val="0"/>
        <w:keepLines w:val="0"/>
        <w:pageBreakBefore w:val="0"/>
        <w:widowControl w:val="0"/>
        <w:kinsoku/>
        <w:wordWrap/>
        <w:overflowPunct/>
        <w:topLinePunct w:val="0"/>
        <w:autoSpaceDE w:val="0"/>
        <w:autoSpaceDN w:val="0"/>
        <w:bidi w:val="0"/>
        <w:spacing w:line="600" w:lineRule="exact"/>
        <w:ind w:left="0" w:firstLine="640" w:firstLineChars="200"/>
        <w:jc w:val="both"/>
        <w:textAlignment w:val="auto"/>
        <w:rPr>
          <w:rFonts w:ascii="楷体" w:hAnsi="楷体" w:eastAsia="楷体" w:cs="仿宋"/>
          <w:b w:val="0"/>
          <w:bCs w:val="0"/>
          <w:sz w:val="32"/>
          <w:szCs w:val="32"/>
        </w:rPr>
      </w:pPr>
      <w:r>
        <w:rPr>
          <w:rFonts w:hint="eastAsia" w:ascii="楷体" w:hAnsi="楷体" w:eastAsia="楷体" w:cs="仿宋"/>
          <w:b w:val="0"/>
          <w:bCs w:val="0"/>
          <w:sz w:val="32"/>
          <w:szCs w:val="32"/>
        </w:rPr>
        <w:t>——产业发展新动能加快集聚。</w:t>
      </w:r>
      <w:r>
        <w:rPr>
          <w:rFonts w:hint="eastAsia" w:ascii="仿宋_GB2312" w:hAnsi="仿宋" w:eastAsia="仿宋_GB2312" w:cs="仿宋"/>
          <w:b w:val="0"/>
          <w:bCs w:val="0"/>
          <w:sz w:val="32"/>
          <w:szCs w:val="32"/>
        </w:rPr>
        <w:t>农业产业供给质量不断提高，农业产业结构不断优化。</w:t>
      </w:r>
      <w:r>
        <w:rPr>
          <w:rFonts w:hint="eastAsia" w:ascii="仿宋_GB2312" w:hAnsi="仿宋_GB2312" w:eastAsia="仿宋_GB2312" w:cs="仿宋_GB2312"/>
          <w:b w:val="0"/>
          <w:bCs w:val="0"/>
          <w:sz w:val="32"/>
          <w:szCs w:val="32"/>
        </w:rPr>
        <w:t>累计产粮100亿斤，实现“十七连丰”。建设高标准农田16万亩，鲜食玉米、食用菌等特色农产品种植规模不断扩大，“呼兰河”系列品牌价值逐年提升。</w:t>
      </w:r>
      <w:r>
        <w:rPr>
          <w:rFonts w:hint="eastAsia" w:ascii="仿宋_GB2312" w:hAnsi="仿宋" w:eastAsia="仿宋_GB2312" w:cs="仿宋"/>
          <w:b w:val="0"/>
          <w:bCs w:val="0"/>
          <w:sz w:val="32"/>
          <w:szCs w:val="32"/>
        </w:rPr>
        <w:t>黑龙江省呼兰经济开发区获得批复，以中电光谷、北控置业产城运营战略合作为新发展模式，以建设生物医药、绿色食品等大健康产业体系为新发展方向，为呼兰实施“二次创业”，实现“再造一个新呼兰”远景目标奠定了基础。2020年签署恒大滨江文化旅游等战略协议12个，签约项目10个。</w:t>
      </w:r>
      <w:r>
        <w:rPr>
          <w:rFonts w:hint="eastAsia" w:ascii="仿宋_GB2312" w:hAnsi="仿宋_GB2312" w:eastAsia="仿宋_GB2312" w:cs="仿宋_GB2312"/>
          <w:b w:val="0"/>
          <w:bCs w:val="0"/>
          <w:sz w:val="32"/>
          <w:szCs w:val="32"/>
        </w:rPr>
        <w:t>“十三五”后期，新增规上工业企业6家，高新技术产值、增加值分别达到3.5亿元、1.5亿元。</w:t>
      </w:r>
      <w:r>
        <w:rPr>
          <w:rFonts w:hint="eastAsia" w:ascii="仿宋_GB2312" w:hAnsi="仿宋" w:eastAsia="仿宋_GB2312" w:cs="仿宋"/>
          <w:b w:val="0"/>
          <w:bCs w:val="0"/>
          <w:sz w:val="32"/>
          <w:szCs w:val="32"/>
        </w:rPr>
        <w:t>文化旅游业态初具规模，</w:t>
      </w:r>
      <w:r>
        <w:rPr>
          <w:rFonts w:hint="eastAsia" w:ascii="仿宋_GB2312" w:hAnsi="仿宋_GB2312" w:eastAsia="仿宋_GB2312" w:cs="仿宋_GB2312"/>
          <w:b w:val="0"/>
          <w:bCs w:val="0"/>
          <w:sz w:val="32"/>
          <w:szCs w:val="32"/>
        </w:rPr>
        <w:t>累计接待游客430万人，旅游总收入3.8亿元，“花海”“江海”成为休闲旅游、亲近自然的网红打卡地。</w:t>
      </w:r>
    </w:p>
    <w:p>
      <w:pPr>
        <w:keepNext w:val="0"/>
        <w:keepLines w:val="0"/>
        <w:pageBreakBefore w:val="0"/>
        <w:widowControl w:val="0"/>
        <w:kinsoku/>
        <w:wordWrap/>
        <w:overflowPunct/>
        <w:topLinePunct w:val="0"/>
        <w:bidi w:val="0"/>
        <w:adjustRightInd w:val="0"/>
        <w:snapToGrid w:val="0"/>
        <w:spacing w:line="600" w:lineRule="exact"/>
        <w:ind w:left="0" w:firstLine="640" w:firstLineChars="200"/>
        <w:jc w:val="both"/>
        <w:textAlignment w:val="auto"/>
        <w:rPr>
          <w:rFonts w:ascii="仿宋_GB2312" w:hAnsi="仿宋_GB2312" w:eastAsia="仿宋_GB2312" w:cs="仿宋_GB2312"/>
          <w:b w:val="0"/>
          <w:bCs w:val="0"/>
          <w:sz w:val="32"/>
          <w:szCs w:val="32"/>
        </w:rPr>
      </w:pPr>
      <w:r>
        <w:rPr>
          <w:rFonts w:hint="eastAsia" w:ascii="楷体" w:hAnsi="楷体" w:eastAsia="楷体" w:cs="仿宋"/>
          <w:b w:val="0"/>
          <w:bCs w:val="0"/>
          <w:sz w:val="32"/>
          <w:szCs w:val="32"/>
        </w:rPr>
        <w:t>——三大攻坚战取得关键进展。</w:t>
      </w:r>
      <w:r>
        <w:rPr>
          <w:rFonts w:hint="eastAsia" w:ascii="楷体" w:hAnsi="楷体" w:eastAsia="楷体" w:cs="楷体"/>
          <w:b w:val="0"/>
          <w:bCs w:val="0"/>
          <w:sz w:val="32"/>
          <w:szCs w:val="32"/>
        </w:rPr>
        <w:t>“三大攻坚战”成果丰硕。</w:t>
      </w:r>
      <w:r>
        <w:rPr>
          <w:rFonts w:hint="eastAsia" w:ascii="仿宋_GB2312" w:hAnsi="仿宋_GB2312" w:eastAsia="仿宋_GB2312" w:cs="仿宋_GB2312"/>
          <w:b w:val="0"/>
          <w:bCs w:val="0"/>
          <w:sz w:val="32"/>
          <w:szCs w:val="32"/>
        </w:rPr>
        <w:t>全区建档立卡5620户、11910名贫困人口如期脱贫退出，8个贫困村如期脱贫出列。扶贫产业项目实现全覆盖，贫困户人均收入增加到12505元。累计投入</w:t>
      </w:r>
      <w:r>
        <w:rPr>
          <w:rFonts w:ascii="仿宋_GB2312" w:hAnsi="仿宋_GB2312" w:eastAsia="仿宋_GB2312" w:cs="仿宋_GB2312"/>
          <w:b w:val="0"/>
          <w:bCs w:val="0"/>
          <w:sz w:val="32"/>
          <w:szCs w:val="32"/>
        </w:rPr>
        <w:t>1.7</w:t>
      </w:r>
      <w:r>
        <w:rPr>
          <w:rFonts w:hint="eastAsia" w:ascii="仿宋_GB2312" w:hAnsi="仿宋_GB2312" w:eastAsia="仿宋_GB2312" w:cs="仿宋_GB2312"/>
          <w:b w:val="0"/>
          <w:bCs w:val="0"/>
          <w:sz w:val="32"/>
          <w:szCs w:val="32"/>
        </w:rPr>
        <w:t>亿元，改造农村危房</w:t>
      </w:r>
      <w:r>
        <w:rPr>
          <w:rFonts w:ascii="仿宋_GB2312" w:hAnsi="仿宋_GB2312" w:eastAsia="仿宋_GB2312" w:cs="仿宋_GB2312"/>
          <w:b w:val="0"/>
          <w:bCs w:val="0"/>
          <w:sz w:val="32"/>
          <w:szCs w:val="32"/>
        </w:rPr>
        <w:t>2183</w:t>
      </w:r>
      <w:r>
        <w:rPr>
          <w:rFonts w:hint="eastAsia" w:ascii="仿宋_GB2312" w:hAnsi="仿宋_GB2312" w:eastAsia="仿宋_GB2312" w:cs="仿宋_GB2312"/>
          <w:b w:val="0"/>
          <w:bCs w:val="0"/>
          <w:sz w:val="32"/>
          <w:szCs w:val="32"/>
        </w:rPr>
        <w:t>户，建成安全饮水工程</w:t>
      </w:r>
      <w:r>
        <w:rPr>
          <w:rFonts w:ascii="仿宋_GB2312" w:hAnsi="仿宋_GB2312" w:eastAsia="仿宋_GB2312" w:cs="仿宋_GB2312"/>
          <w:b w:val="0"/>
          <w:bCs w:val="0"/>
          <w:sz w:val="32"/>
          <w:szCs w:val="32"/>
        </w:rPr>
        <w:t>11</w:t>
      </w:r>
      <w:r>
        <w:rPr>
          <w:rFonts w:hint="eastAsia" w:ascii="仿宋_GB2312" w:hAnsi="仿宋_GB2312" w:eastAsia="仿宋_GB2312" w:cs="仿宋_GB2312"/>
          <w:b w:val="0"/>
          <w:bCs w:val="0"/>
          <w:sz w:val="32"/>
          <w:szCs w:val="32"/>
        </w:rPr>
        <w:t>8处，“两不愁三保障”全面实现。全面落实河长制，清理河湖“四乱”</w:t>
      </w:r>
      <w:r>
        <w:rPr>
          <w:rFonts w:ascii="仿宋_GB2312" w:hAnsi="仿宋_GB2312" w:eastAsia="仿宋_GB2312" w:cs="仿宋_GB2312"/>
          <w:b w:val="0"/>
          <w:bCs w:val="0"/>
          <w:sz w:val="32"/>
          <w:szCs w:val="32"/>
        </w:rPr>
        <w:t>12</w:t>
      </w:r>
      <w:r>
        <w:rPr>
          <w:rFonts w:hint="eastAsia" w:ascii="仿宋_GB2312" w:hAnsi="仿宋_GB2312" w:eastAsia="仿宋_GB2312" w:cs="仿宋_GB2312"/>
          <w:b w:val="0"/>
          <w:bCs w:val="0"/>
          <w:sz w:val="32"/>
          <w:szCs w:val="32"/>
        </w:rPr>
        <w:t>3处，一排干黑臭水体治理、呼兰河口湿地公园拆违、</w:t>
      </w:r>
      <w:r>
        <w:rPr>
          <w:rFonts w:hint="eastAsia" w:ascii="仿宋_GB2312" w:hAnsi="楷体" w:eastAsia="仿宋_GB2312" w:cs="楷体"/>
          <w:b w:val="0"/>
          <w:bCs w:val="0"/>
          <w:sz w:val="32"/>
          <w:szCs w:val="32"/>
        </w:rPr>
        <w:t>大王岗填埋场治理等任务全面完成。</w:t>
      </w:r>
      <w:bookmarkStart w:id="2" w:name="_Hlk59274448"/>
      <w:r>
        <w:rPr>
          <w:rFonts w:hint="eastAsia" w:ascii="仿宋_GB2312" w:hAnsi="仿宋_GB2312" w:eastAsia="仿宋_GB2312" w:cs="仿宋_GB2312"/>
          <w:b w:val="0"/>
          <w:bCs w:val="0"/>
          <w:sz w:val="32"/>
          <w:szCs w:val="32"/>
        </w:rPr>
        <w:t>规模养殖场粪污无害化处理率达到90%</w:t>
      </w:r>
      <w:bookmarkEnd w:id="2"/>
      <w:r>
        <w:rPr>
          <w:rFonts w:hint="eastAsia" w:ascii="仿宋_GB2312" w:hAnsi="仿宋_GB2312" w:eastAsia="仿宋_GB2312" w:cs="仿宋_GB2312"/>
          <w:b w:val="0"/>
          <w:bCs w:val="0"/>
          <w:sz w:val="32"/>
          <w:szCs w:val="32"/>
        </w:rPr>
        <w:t>，农业土壤面源污染示范区扩增到3000亩。全面化解金融风险，完成债务划转50.8亿元，化解政府债务2.75亿元。网络借贷、非法集资等金融风险得到有效控制。</w:t>
      </w:r>
    </w:p>
    <w:p>
      <w:pPr>
        <w:keepNext w:val="0"/>
        <w:keepLines w:val="0"/>
        <w:pageBreakBefore w:val="0"/>
        <w:widowControl w:val="0"/>
        <w:kinsoku/>
        <w:wordWrap/>
        <w:overflowPunct/>
        <w:topLinePunct w:val="0"/>
        <w:bidi w:val="0"/>
        <w:spacing w:line="600" w:lineRule="exact"/>
        <w:ind w:left="0"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——民生福祉持续改善。</w:t>
      </w:r>
      <w:r>
        <w:rPr>
          <w:rFonts w:hint="eastAsia" w:ascii="仿宋_GB2312" w:hAnsi="仿宋_GB2312" w:eastAsia="仿宋_GB2312" w:cs="仿宋_GB2312"/>
          <w:b w:val="0"/>
          <w:bCs w:val="0"/>
          <w:sz w:val="32"/>
          <w:szCs w:val="32"/>
        </w:rPr>
        <w:t>城乡居民收入与GDP发展态势同步，提前两年实现比2010年“翻一番”目标。社会保障水平大幅提升，企业退休人员养老金实现五连增，城乡医保参保率100%。年均新增城镇就业3700人，城镇登记失业率控制在4.1%以内。新改扩建公办幼儿园4所、学校10所，完成34所学校标准化建设，</w:t>
      </w:r>
      <w:r>
        <w:rPr>
          <w:rFonts w:hint="eastAsia" w:ascii="仿宋_GB2312" w:hAnsi="Times New Roman" w:eastAsia="仿宋_GB2312"/>
          <w:b w:val="0"/>
          <w:bCs w:val="0"/>
          <w:sz w:val="32"/>
          <w:szCs w:val="32"/>
        </w:rPr>
        <w:t>4</w:t>
      </w:r>
      <w:r>
        <w:rPr>
          <w:rFonts w:hint="eastAsia" w:ascii="仿宋_GB2312" w:hAnsi="仿宋_GB2312" w:eastAsia="仿宋_GB2312" w:cs="仿宋_GB2312"/>
          <w:b w:val="0"/>
          <w:bCs w:val="0"/>
          <w:sz w:val="32"/>
          <w:szCs w:val="32"/>
        </w:rPr>
        <w:t>所中小学校被评为市级特色学校，创建义务教育发展基本均衡区通过国家级评估认定。推进医药卫生体制改革，落实公立医院药品集中招标采购和“两票制”，实现零差价，看病贵、看病难问题有效缓解。实施文化惠民工程，新建文化广场45处，举办各类文化活动500余场次，大型原创歌剧《萧红》在北京、哈尔滨成功巡演，呼兰知名度和萧红名片进一步增强。</w:t>
      </w:r>
      <w:r>
        <w:rPr>
          <w:rFonts w:hint="eastAsia" w:ascii="仿宋_GB2312" w:hAnsi="仿宋" w:eastAsia="仿宋_GB2312" w:cs="仿宋"/>
          <w:b w:val="0"/>
          <w:bCs w:val="0"/>
          <w:sz w:val="32"/>
          <w:szCs w:val="32"/>
        </w:rPr>
        <w:t>荣获“双拥模范城市”“精神文明城市”等称号。</w:t>
      </w:r>
    </w:p>
    <w:p>
      <w:pPr>
        <w:keepNext w:val="0"/>
        <w:keepLines w:val="0"/>
        <w:pageBreakBefore w:val="0"/>
        <w:widowControl w:val="0"/>
        <w:kinsoku/>
        <w:wordWrap/>
        <w:overflowPunct/>
        <w:topLinePunct w:val="0"/>
        <w:autoSpaceDE w:val="0"/>
        <w:autoSpaceDN w:val="0"/>
        <w:bidi w:val="0"/>
        <w:spacing w:line="600" w:lineRule="exact"/>
        <w:ind w:left="0" w:firstLine="640" w:firstLineChars="200"/>
        <w:jc w:val="both"/>
        <w:textAlignment w:val="auto"/>
        <w:rPr>
          <w:rFonts w:ascii="楷体" w:hAnsi="楷体" w:eastAsia="楷体" w:cs="仿宋"/>
          <w:b w:val="0"/>
          <w:bCs w:val="0"/>
          <w:sz w:val="32"/>
          <w:szCs w:val="32"/>
        </w:rPr>
      </w:pPr>
      <w:r>
        <w:rPr>
          <w:rFonts w:ascii="楷体" w:hAnsi="楷体" w:eastAsia="楷体" w:cs="仿宋"/>
          <w:b w:val="0"/>
          <w:bCs w:val="0"/>
          <w:sz w:val="32"/>
          <w:szCs w:val="32"/>
        </w:rPr>
        <w:t>——</w:t>
      </w:r>
      <w:r>
        <w:rPr>
          <w:rFonts w:hint="eastAsia" w:ascii="楷体" w:hAnsi="楷体" w:eastAsia="楷体" w:cs="仿宋"/>
          <w:b w:val="0"/>
          <w:bCs w:val="0"/>
          <w:sz w:val="32"/>
          <w:szCs w:val="32"/>
        </w:rPr>
        <w:t>城乡</w:t>
      </w:r>
      <w:r>
        <w:rPr>
          <w:rFonts w:ascii="楷体" w:hAnsi="楷体" w:eastAsia="楷体" w:cs="仿宋"/>
          <w:b w:val="0"/>
          <w:bCs w:val="0"/>
          <w:sz w:val="32"/>
          <w:szCs w:val="32"/>
        </w:rPr>
        <w:t>建设</w:t>
      </w:r>
      <w:r>
        <w:rPr>
          <w:rFonts w:hint="eastAsia" w:ascii="楷体" w:hAnsi="楷体" w:eastAsia="楷体" w:cs="仿宋"/>
          <w:b w:val="0"/>
          <w:bCs w:val="0"/>
          <w:sz w:val="32"/>
          <w:szCs w:val="32"/>
        </w:rPr>
        <w:t>加快</w:t>
      </w:r>
      <w:r>
        <w:rPr>
          <w:rFonts w:ascii="楷体" w:hAnsi="楷体" w:eastAsia="楷体" w:cs="仿宋"/>
          <w:b w:val="0"/>
          <w:bCs w:val="0"/>
          <w:sz w:val="32"/>
          <w:szCs w:val="32"/>
        </w:rPr>
        <w:t>推进。</w:t>
      </w:r>
      <w:r>
        <w:rPr>
          <w:rFonts w:hint="eastAsia" w:ascii="仿宋_GB2312" w:hAnsi="仿宋" w:eastAsia="仿宋_GB2312" w:cs="仿宋"/>
          <w:b w:val="0"/>
          <w:bCs w:val="0"/>
          <w:sz w:val="32"/>
          <w:szCs w:val="32"/>
        </w:rPr>
        <w:t>基础设施建设全面推进，城市管理得到进一步优化，居住环境持续改善。</w:t>
      </w:r>
      <w:r>
        <w:rPr>
          <w:rFonts w:hint="eastAsia" w:ascii="仿宋_GB2312" w:hAnsi="仿宋_GB2312" w:eastAsia="仿宋_GB2312" w:cs="仿宋_GB2312"/>
          <w:b w:val="0"/>
          <w:bCs w:val="0"/>
          <w:sz w:val="32"/>
          <w:szCs w:val="32"/>
        </w:rPr>
        <w:t>新改造道路</w:t>
      </w:r>
      <w:r>
        <w:rPr>
          <w:rFonts w:ascii="仿宋_GB2312" w:hAnsi="仿宋_GB2312" w:eastAsia="仿宋_GB2312" w:cs="仿宋_GB2312"/>
          <w:b w:val="0"/>
          <w:bCs w:val="0"/>
          <w:sz w:val="32"/>
          <w:szCs w:val="32"/>
        </w:rPr>
        <w:t>65</w:t>
      </w:r>
      <w:r>
        <w:rPr>
          <w:rFonts w:hint="eastAsia" w:ascii="仿宋_GB2312" w:hAnsi="仿宋_GB2312" w:eastAsia="仿宋_GB2312" w:cs="仿宋_GB2312"/>
          <w:b w:val="0"/>
          <w:bCs w:val="0"/>
          <w:sz w:val="32"/>
          <w:szCs w:val="32"/>
        </w:rPr>
        <w:t>条、危桥5座，公共交通实现与江南城区一体化、智能化。</w:t>
      </w:r>
      <w:r>
        <w:rPr>
          <w:rFonts w:hint="eastAsia" w:ascii="仿宋_GB2312" w:hAnsi="仿宋" w:eastAsia="仿宋_GB2312" w:cs="仿宋"/>
          <w:b w:val="0"/>
          <w:bCs w:val="0"/>
          <w:sz w:val="32"/>
          <w:szCs w:val="32"/>
        </w:rPr>
        <w:t>顺利完成老城区道路拓宽改造和农村公路建设任务，全区建制村农村公路硬化率达到100%，农村公路建设达388公里</w:t>
      </w:r>
      <w:r>
        <w:rPr>
          <w:rFonts w:hint="eastAsia" w:ascii="仿宋_GB2312" w:hAnsi="仿宋_GB2312" w:eastAsia="仿宋_GB2312" w:cs="仿宋_GB2312"/>
          <w:b w:val="0"/>
          <w:bCs w:val="0"/>
          <w:sz w:val="32"/>
          <w:szCs w:val="32"/>
        </w:rPr>
        <w:t>。二水厂</w:t>
      </w:r>
      <w:r>
        <w:rPr>
          <w:rFonts w:ascii="仿宋_GB2312" w:hAnsi="仿宋_GB2312" w:eastAsia="仿宋_GB2312" w:cs="仿宋_GB2312"/>
          <w:b w:val="0"/>
          <w:bCs w:val="0"/>
          <w:sz w:val="32"/>
          <w:szCs w:val="32"/>
        </w:rPr>
        <w:t>提档升级</w:t>
      </w:r>
      <w:r>
        <w:rPr>
          <w:rFonts w:hint="eastAsia" w:ascii="仿宋_GB2312" w:hAnsi="仿宋_GB2312" w:eastAsia="仿宋_GB2312" w:cs="仿宋_GB2312"/>
          <w:b w:val="0"/>
          <w:bCs w:val="0"/>
          <w:sz w:val="32"/>
          <w:szCs w:val="32"/>
        </w:rPr>
        <w:t>，城市生活垃圾分类有序推进。</w:t>
      </w:r>
      <w:r>
        <w:rPr>
          <w:rFonts w:hint="eastAsia" w:ascii="仿宋_GB2312" w:hAnsi="仿宋" w:eastAsia="仿宋_GB2312" w:cs="仿宋"/>
          <w:b w:val="0"/>
          <w:bCs w:val="0"/>
          <w:sz w:val="32"/>
          <w:szCs w:val="32"/>
        </w:rPr>
        <w:t>围绕群众反映强烈的“非法运营”等乱象问题，多部门实施最严整治，实现了出租车与哈市主城区一体化管理，恢复运营机场4号线。</w:t>
      </w:r>
      <w:r>
        <w:rPr>
          <w:rFonts w:hint="eastAsia" w:ascii="仿宋_GB2312" w:hAnsi="仿宋_GB2312" w:eastAsia="仿宋_GB2312" w:cs="仿宋_GB2312"/>
          <w:b w:val="0"/>
          <w:bCs w:val="0"/>
          <w:sz w:val="32"/>
          <w:szCs w:val="32"/>
        </w:rPr>
        <w:t>城市公共空间加快拓展，新改扩建公园</w:t>
      </w:r>
      <w:r>
        <w:rPr>
          <w:rFonts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t>处，新增绿化美化面积</w:t>
      </w:r>
      <w:r>
        <w:rPr>
          <w:rFonts w:ascii="仿宋_GB2312" w:hAnsi="仿宋_GB2312" w:eastAsia="仿宋_GB2312" w:cs="仿宋_GB2312"/>
          <w:b w:val="0"/>
          <w:bCs w:val="0"/>
          <w:sz w:val="32"/>
          <w:szCs w:val="32"/>
        </w:rPr>
        <w:t>2.1</w:t>
      </w:r>
      <w:r>
        <w:rPr>
          <w:rFonts w:hint="eastAsia" w:ascii="仿宋_GB2312" w:hAnsi="仿宋_GB2312" w:eastAsia="仿宋_GB2312" w:cs="仿宋_GB2312"/>
          <w:b w:val="0"/>
          <w:bCs w:val="0"/>
          <w:sz w:val="32"/>
          <w:szCs w:val="32"/>
        </w:rPr>
        <w:t>万平方米。</w:t>
      </w:r>
      <w:bookmarkStart w:id="3" w:name="_Hlk59274467"/>
      <w:r>
        <w:rPr>
          <w:rFonts w:hint="eastAsia" w:ascii="仿宋_GB2312" w:hAnsi="仿宋_GB2312" w:eastAsia="仿宋_GB2312" w:cs="仿宋_GB2312"/>
          <w:b w:val="0"/>
          <w:bCs w:val="0"/>
          <w:sz w:val="32"/>
          <w:szCs w:val="32"/>
        </w:rPr>
        <w:t>改造棚户区1067户、老旧小区33.6万平方米。坚守“农地姓农”底线，清理</w:t>
      </w:r>
      <w:bookmarkEnd w:id="3"/>
      <w:r>
        <w:rPr>
          <w:rFonts w:hint="eastAsia" w:ascii="仿宋_GB2312" w:hAnsi="仿宋_GB2312" w:eastAsia="仿宋_GB2312" w:cs="仿宋_GB2312"/>
          <w:b w:val="0"/>
          <w:bCs w:val="0"/>
          <w:sz w:val="32"/>
          <w:szCs w:val="32"/>
        </w:rPr>
        <w:t>违建别墅6</w:t>
      </w:r>
      <w:r>
        <w:rPr>
          <w:rFonts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rPr>
        <w:t>栋、</w:t>
      </w:r>
      <w:bookmarkStart w:id="4" w:name="_Hlk59274460"/>
      <w:r>
        <w:rPr>
          <w:rFonts w:hint="eastAsia" w:ascii="仿宋_GB2312" w:hAnsi="仿宋_GB2312" w:eastAsia="仿宋_GB2312" w:cs="仿宋_GB2312"/>
          <w:b w:val="0"/>
          <w:bCs w:val="0"/>
          <w:sz w:val="32"/>
          <w:szCs w:val="32"/>
        </w:rPr>
        <w:t>“大棚房”14处</w:t>
      </w:r>
      <w:bookmarkEnd w:id="4"/>
      <w:r>
        <w:rPr>
          <w:rFonts w:hint="eastAsia" w:ascii="仿宋_GB2312" w:hAnsi="仿宋_GB2312" w:eastAsia="仿宋_GB2312" w:cs="仿宋_GB2312"/>
          <w:b w:val="0"/>
          <w:bCs w:val="0"/>
          <w:sz w:val="32"/>
          <w:szCs w:val="32"/>
        </w:rPr>
        <w:t>。打造美丽乡村18个，建成农村生活垃圾收集转运体系，</w:t>
      </w:r>
      <w:bookmarkStart w:id="5" w:name="_Hlk59274477"/>
      <w:r>
        <w:rPr>
          <w:rFonts w:hint="eastAsia" w:ascii="仿宋_GB2312" w:hAnsi="仿宋_GB2312" w:eastAsia="仿宋_GB2312" w:cs="仿宋_GB2312"/>
          <w:b w:val="0"/>
          <w:bCs w:val="0"/>
          <w:sz w:val="32"/>
          <w:szCs w:val="32"/>
        </w:rPr>
        <w:t>新建农村卫生厕所7588处，</w:t>
      </w:r>
      <w:bookmarkEnd w:id="5"/>
      <w:r>
        <w:rPr>
          <w:rFonts w:hint="eastAsia" w:ascii="仿宋_GB2312" w:hAnsi="仿宋_GB2312" w:eastAsia="仿宋_GB2312" w:cs="仿宋_GB2312"/>
          <w:b w:val="0"/>
          <w:bCs w:val="0"/>
          <w:sz w:val="32"/>
          <w:szCs w:val="32"/>
        </w:rPr>
        <w:t>“十三五”期间，完成农村植树造林10389亩，农村人居环境持续改善。</w:t>
      </w:r>
    </w:p>
    <w:p>
      <w:pPr>
        <w:keepNext w:val="0"/>
        <w:keepLines w:val="0"/>
        <w:pageBreakBefore w:val="0"/>
        <w:widowControl w:val="0"/>
        <w:kinsoku/>
        <w:wordWrap/>
        <w:overflowPunct/>
        <w:topLinePunct w:val="0"/>
        <w:autoSpaceDE w:val="0"/>
        <w:autoSpaceDN w:val="0"/>
        <w:bidi w:val="0"/>
        <w:spacing w:line="600" w:lineRule="exact"/>
        <w:ind w:left="0"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——社会治理能力持续提升。</w:t>
      </w:r>
      <w:r>
        <w:rPr>
          <w:rFonts w:hint="eastAsia" w:ascii="仿宋_GB2312" w:hAnsi="仿宋" w:eastAsia="仿宋_GB2312" w:cs="仿宋"/>
          <w:b w:val="0"/>
          <w:bCs w:val="0"/>
          <w:sz w:val="32"/>
          <w:szCs w:val="32"/>
        </w:rPr>
        <w:t>深化基层社会治理基础单元建设，建立区级综治中心1个，街道（乡镇）综治中心19个，村级综合服务平台189个，初步形成规范、高效、融合的区域化社会治理体系，为全区人民安居乐业提供了安全保障。深入开展扫黑除恶专项斗争，打掉涉嫌黑恶犯罪组织、集团（团伙）13个，破获案件538起，接管代管涉案企业46个。完成供热、殡葬、交通等25个重点行业专项整治问题69项，建立长效机制82项，重点行业民生领域实现由乱到治，群众权益得到充分保障，满意率达到95%以上。在疫情防控中提升社会治理能力，疫情防控取得战略性成果。嘉润医院被评为全省疫情防控工作先进集体。第一时间推进企业复工复产，梳理推送惠企政策68条，通过“免减退补延融”等方式，累计兑现抗疫惠企政策资金3.86亿元。有效防范食品药品、消防应急、安全生产等领域重大风险，各类安全事故发生率持续下降。</w:t>
      </w:r>
    </w:p>
    <w:p>
      <w:pPr>
        <w:keepNext w:val="0"/>
        <w:keepLines w:val="0"/>
        <w:pageBreakBefore w:val="0"/>
        <w:widowControl w:val="0"/>
        <w:kinsoku/>
        <w:wordWrap/>
        <w:overflowPunct/>
        <w:topLinePunct w:val="0"/>
        <w:autoSpaceDE w:val="0"/>
        <w:autoSpaceDN w:val="0"/>
        <w:bidi w:val="0"/>
        <w:spacing w:line="600" w:lineRule="exact"/>
        <w:ind w:left="0" w:firstLine="640" w:firstLineChars="200"/>
        <w:jc w:val="both"/>
        <w:textAlignment w:val="auto"/>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w:t>
      </w:r>
      <w:r>
        <w:rPr>
          <w:rFonts w:hint="eastAsia" w:ascii="楷体" w:hAnsi="楷体" w:eastAsia="楷体" w:cs="仿宋"/>
          <w:b w:val="0"/>
          <w:bCs w:val="0"/>
          <w:sz w:val="32"/>
          <w:szCs w:val="32"/>
        </w:rPr>
        <w:t>改革成果成效</w:t>
      </w:r>
      <w:r>
        <w:rPr>
          <w:rFonts w:ascii="楷体" w:hAnsi="楷体" w:eastAsia="楷体" w:cs="仿宋"/>
          <w:b w:val="0"/>
          <w:bCs w:val="0"/>
          <w:sz w:val="32"/>
          <w:szCs w:val="32"/>
        </w:rPr>
        <w:t>显著</w:t>
      </w:r>
      <w:r>
        <w:rPr>
          <w:rFonts w:hint="eastAsia" w:ascii="楷体" w:hAnsi="楷体" w:eastAsia="楷体" w:cs="仿宋"/>
          <w:b w:val="0"/>
          <w:bCs w:val="0"/>
          <w:sz w:val="32"/>
          <w:szCs w:val="32"/>
        </w:rPr>
        <w:t>。</w:t>
      </w:r>
      <w:r>
        <w:rPr>
          <w:rFonts w:hint="eastAsia" w:ascii="仿宋_GB2312" w:hAnsi="仿宋_GB2312" w:eastAsia="仿宋_GB2312" w:cs="仿宋_GB2312"/>
          <w:b w:val="0"/>
          <w:bCs w:val="0"/>
          <w:sz w:val="32"/>
          <w:szCs w:val="32"/>
        </w:rPr>
        <w:t>“政区合一”、政府机构、事业单位等体制类改革高质量完成，行政效能明显提高。农业“两区”划定、农村产权制度、农村“三资”管理等生产要素改革稳步推进，农业基础地位更加牢固。开发区运营、产城运行、招商引资等机制类改革取得重大突破，发展动能充分释放。“放管服”“双随机一公开”、综合执法等服务保障类改革取得明显成效，营商环境进一步优化。</w:t>
      </w:r>
    </w:p>
    <w:p>
      <w:pPr>
        <w:keepNext w:val="0"/>
        <w:keepLines w:val="0"/>
        <w:pageBreakBefore w:val="0"/>
        <w:widowControl w:val="0"/>
        <w:kinsoku/>
        <w:wordWrap/>
        <w:overflowPunct/>
        <w:topLinePunct w:val="0"/>
        <w:autoSpaceDE w:val="0"/>
        <w:autoSpaceDN w:val="0"/>
        <w:bidi w:val="0"/>
        <w:spacing w:line="600" w:lineRule="exact"/>
        <w:ind w:left="0"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——政治生态明显好转。</w:t>
      </w:r>
      <w:r>
        <w:rPr>
          <w:rFonts w:hint="eastAsia" w:ascii="仿宋_GB2312" w:hAnsi="仿宋" w:eastAsia="仿宋_GB2312" w:cs="仿宋"/>
          <w:b w:val="0"/>
          <w:bCs w:val="0"/>
          <w:sz w:val="32"/>
          <w:szCs w:val="32"/>
        </w:rPr>
        <w:t>推动全面从严治党向纵深发展。“两学一做”学习教育和“不忘初心、牢记使命”主题教育深入开展，</w:t>
      </w:r>
      <w:r>
        <w:rPr>
          <w:rFonts w:hint="eastAsia" w:ascii="仿宋_GB2312" w:hAnsi="仿宋_GB2312" w:eastAsia="仿宋_GB2312" w:cs="仿宋_GB2312"/>
          <w:b w:val="0"/>
          <w:bCs w:val="0"/>
          <w:sz w:val="32"/>
          <w:szCs w:val="32"/>
        </w:rPr>
        <w:t>政府公职人员理想信念更加坚定，规矩意识明显增强。</w:t>
      </w:r>
      <w:r>
        <w:rPr>
          <w:rFonts w:hint="eastAsia" w:ascii="仿宋_GB2312" w:hAnsi="仿宋" w:eastAsia="仿宋_GB2312" w:cs="仿宋"/>
          <w:b w:val="0"/>
          <w:bCs w:val="0"/>
          <w:sz w:val="32"/>
          <w:szCs w:val="32"/>
        </w:rPr>
        <w:t>扫黑除恶专项斗争取得阶段性胜利，反腐败斗争压倒性胜利不断巩固；纪检监察体制改革持续深化，持之以恒纠“四风”，圆满完成全国政法队伍教育整顿试点工作等任务。</w:t>
      </w:r>
      <w:r>
        <w:rPr>
          <w:rFonts w:hint="eastAsia" w:ascii="仿宋_GB2312" w:hAnsi="仿宋_GB2312" w:eastAsia="仿宋_GB2312" w:cs="仿宋_GB2312"/>
          <w:b w:val="0"/>
          <w:bCs w:val="0"/>
          <w:sz w:val="32"/>
          <w:szCs w:val="32"/>
        </w:rPr>
        <w:t>法治政府建设全面推进，梳理完善政府运行规则25项，“三重一大”决策制度4项，政府决策合法性审查、审计监督全覆盖。“七五”普法全面完成。自觉接受人大、政协监督，办理人大代表建议201件、政协委员提案442件，办结率均达100%。</w:t>
      </w:r>
      <w:r>
        <w:rPr>
          <w:rFonts w:hint="eastAsia" w:ascii="仿宋_GB2312" w:hAnsi="仿宋" w:eastAsia="仿宋_GB2312" w:cs="仿宋"/>
          <w:b w:val="0"/>
          <w:bCs w:val="0"/>
          <w:sz w:val="32"/>
          <w:szCs w:val="32"/>
        </w:rPr>
        <w:t>政治生态考核实现常态化制度化，党员干部作风持续好转，干事创业精神不断提升。</w:t>
      </w:r>
    </w:p>
    <w:p>
      <w:pPr>
        <w:keepNext w:val="0"/>
        <w:keepLines w:val="0"/>
        <w:pageBreakBefore w:val="0"/>
        <w:widowControl w:val="0"/>
        <w:kinsoku/>
        <w:wordWrap/>
        <w:overflowPunct/>
        <w:topLinePunct w:val="0"/>
        <w:bidi w:val="0"/>
        <w:spacing w:line="600" w:lineRule="exact"/>
        <w:ind w:left="0"/>
        <w:jc w:val="center"/>
        <w:textAlignment w:val="auto"/>
        <w:outlineLvl w:val="1"/>
        <w:rPr>
          <w:rFonts w:ascii="黑体" w:hAnsi="黑体" w:eastAsia="黑体" w:cs="仿宋"/>
          <w:b w:val="0"/>
          <w:bCs w:val="0"/>
          <w:sz w:val="32"/>
          <w:szCs w:val="32"/>
        </w:rPr>
      </w:pPr>
      <w:bookmarkStart w:id="6" w:name="_Toc4927"/>
      <w:r>
        <w:rPr>
          <w:rFonts w:hint="eastAsia" w:ascii="黑体" w:hAnsi="黑体" w:eastAsia="黑体" w:cs="仿宋"/>
          <w:b w:val="0"/>
          <w:bCs w:val="0"/>
          <w:sz w:val="32"/>
          <w:szCs w:val="32"/>
        </w:rPr>
        <w:t>第二节 “十四五”时期面临的发展环境</w:t>
      </w:r>
      <w:bookmarkEnd w:id="6"/>
    </w:p>
    <w:p>
      <w:pPr>
        <w:keepNext w:val="0"/>
        <w:keepLines w:val="0"/>
        <w:pageBreakBefore w:val="0"/>
        <w:widowControl w:val="0"/>
        <w:kinsoku/>
        <w:wordWrap/>
        <w:overflowPunct/>
        <w:topLinePunct w:val="0"/>
        <w:autoSpaceDE w:val="0"/>
        <w:autoSpaceDN w:val="0"/>
        <w:bidi w:val="0"/>
        <w:spacing w:line="600" w:lineRule="exact"/>
        <w:ind w:left="0" w:firstLine="640" w:firstLineChars="200"/>
        <w:jc w:val="both"/>
        <w:textAlignment w:val="auto"/>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当前和今后一个时期，国家加快实施新一轮东北振兴战略，赋予东北地区维护国家“五大安全”战略的新使命。“十四五”时期将是推动东北全方位振兴的关键期，也为呼兰进一步发挥在维护粮食安全、生态安全上的作用提供了良好契机；以国内大循环为主体、国际国内双循环相互促进的新发展格局加快构建，为推动呼兰生态、农业等优势转化为经济优势，加快形成竞争新优势，承接国内产业转移，创造了巨大发展空间；东北地区新一轮振兴叠加支持哈长城市群、哈尔滨新区和黑龙江自贸区哈尔滨片区建设等区域发展政策，对于呼兰区借助新区一体化发展融入大都市，成为新区发展联动区、老城外溢承载区、城乡融合示范区提供了新机遇。</w:t>
      </w:r>
    </w:p>
    <w:p>
      <w:pPr>
        <w:keepNext w:val="0"/>
        <w:keepLines w:val="0"/>
        <w:pageBreakBefore w:val="0"/>
        <w:widowControl w:val="0"/>
        <w:kinsoku/>
        <w:wordWrap/>
        <w:overflowPunct/>
        <w:topLinePunct w:val="0"/>
        <w:autoSpaceDE w:val="0"/>
        <w:autoSpaceDN w:val="0"/>
        <w:bidi w:val="0"/>
        <w:spacing w:line="600" w:lineRule="exact"/>
        <w:ind w:left="0" w:firstLine="640" w:firstLineChars="200"/>
        <w:jc w:val="both"/>
        <w:textAlignment w:val="auto"/>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在国内外经济形势复杂多变的大背景下，区域经济社会发展面临更加艰巨的挑战。总体判断，呼兰区处于新的历史发展期，还存在一定历史遗留问题和发展新增问题。经济体量缩减，产业结构失衡，工业短板凸显，新的经济增长动能尚未在短时间内聚集发力；城乡基础设施薄弱，老城、农村基础设施建设投入严重不足，历史欠账多；民生保障方面短板还有待进一步补齐。“十四五”时期，呼兰必须加快适应新时代新要求，将国家、区域发展战略与自身优势相结合，推动资源优势、区位优势和生态优势向产业优势、经济优势和发展优势集聚转变，促进高质量发展，开启全面振兴新征程。</w:t>
      </w:r>
    </w:p>
    <w:p>
      <w:pPr>
        <w:keepNext w:val="0"/>
        <w:keepLines w:val="0"/>
        <w:pageBreakBefore w:val="0"/>
        <w:widowControl w:val="0"/>
        <w:kinsoku/>
        <w:wordWrap/>
        <w:overflowPunct/>
        <w:topLinePunct w:val="0"/>
        <w:bidi w:val="0"/>
        <w:spacing w:line="600" w:lineRule="exact"/>
        <w:ind w:left="0"/>
        <w:jc w:val="center"/>
        <w:textAlignment w:val="auto"/>
        <w:outlineLvl w:val="1"/>
        <w:rPr>
          <w:rFonts w:hint="eastAsia" w:ascii="黑体" w:hAnsi="黑体" w:eastAsia="黑体" w:cs="仿宋"/>
          <w:b w:val="0"/>
          <w:bCs w:val="0"/>
          <w:sz w:val="32"/>
          <w:szCs w:val="32"/>
        </w:rPr>
      </w:pPr>
      <w:bookmarkStart w:id="7" w:name="_Toc27411"/>
      <w:r>
        <w:rPr>
          <w:rFonts w:hint="eastAsia" w:ascii="黑体" w:hAnsi="黑体" w:eastAsia="黑体" w:cs="仿宋"/>
          <w:b w:val="0"/>
          <w:bCs w:val="0"/>
          <w:sz w:val="32"/>
          <w:szCs w:val="32"/>
        </w:rPr>
        <w:t>第二章 “十四五”时期经济社会发展总体要求</w:t>
      </w:r>
      <w:bookmarkEnd w:id="7"/>
    </w:p>
    <w:p>
      <w:pPr>
        <w:keepNext w:val="0"/>
        <w:keepLines w:val="0"/>
        <w:pageBreakBefore w:val="0"/>
        <w:widowControl w:val="0"/>
        <w:kinsoku/>
        <w:wordWrap/>
        <w:overflowPunct/>
        <w:topLinePunct w:val="0"/>
        <w:bidi w:val="0"/>
        <w:spacing w:line="600" w:lineRule="exact"/>
        <w:ind w:left="0"/>
        <w:jc w:val="center"/>
        <w:textAlignment w:val="auto"/>
        <w:outlineLvl w:val="1"/>
        <w:rPr>
          <w:rFonts w:ascii="黑体" w:hAnsi="黑体" w:eastAsia="黑体" w:cs="仿宋"/>
          <w:b w:val="0"/>
          <w:bCs w:val="0"/>
          <w:sz w:val="32"/>
          <w:szCs w:val="32"/>
        </w:rPr>
      </w:pPr>
      <w:bookmarkStart w:id="8" w:name="_Toc4656"/>
      <w:r>
        <w:rPr>
          <w:rFonts w:hint="eastAsia" w:ascii="黑体" w:hAnsi="黑体" w:eastAsia="黑体" w:cs="仿宋"/>
          <w:b w:val="0"/>
          <w:bCs w:val="0"/>
          <w:sz w:val="32"/>
          <w:szCs w:val="32"/>
        </w:rPr>
        <w:t>第一节 指导思想</w:t>
      </w:r>
      <w:bookmarkEnd w:id="8"/>
    </w:p>
    <w:p>
      <w:pPr>
        <w:keepNext w:val="0"/>
        <w:keepLines w:val="0"/>
        <w:pageBreakBefore w:val="0"/>
        <w:widowControl w:val="0"/>
        <w:kinsoku/>
        <w:wordWrap/>
        <w:overflowPunct/>
        <w:topLinePunct w:val="0"/>
        <w:autoSpaceDE w:val="0"/>
        <w:autoSpaceDN w:val="0"/>
        <w:bidi w:val="0"/>
        <w:spacing w:line="600" w:lineRule="exact"/>
        <w:ind w:left="0" w:firstLine="640" w:firstLineChars="200"/>
        <w:jc w:val="both"/>
        <w:textAlignment w:val="auto"/>
        <w:rPr>
          <w:rFonts w:ascii="仿宋_GB2312" w:hAnsi="Times New Roman" w:eastAsia="仿宋_GB2312"/>
          <w:b w:val="0"/>
          <w:bCs w:val="0"/>
          <w:sz w:val="32"/>
          <w:szCs w:val="32"/>
        </w:rPr>
      </w:pPr>
      <w:r>
        <w:rPr>
          <w:rFonts w:hint="eastAsia" w:ascii="仿宋_GB2312" w:eastAsia="仿宋_GB2312"/>
          <w:b w:val="0"/>
          <w:bCs w:val="0"/>
          <w:sz w:val="32"/>
          <w:szCs w:val="32"/>
        </w:rPr>
        <w:t>以习近平新时代中国特色社会主义思想为指导，全面贯彻落实党的十九大和十九届二中、三中、四中和五中全会精神</w:t>
      </w:r>
      <w:r>
        <w:rPr>
          <w:rFonts w:hint="eastAsia" w:ascii="仿宋_GB2312" w:hAnsi="Times New Roman" w:eastAsia="仿宋_GB2312"/>
          <w:b w:val="0"/>
          <w:bCs w:val="0"/>
          <w:sz w:val="32"/>
          <w:szCs w:val="32"/>
        </w:rPr>
        <w:t>和省委十二届八次、市委十四届九次、区委四届十次全会精神</w:t>
      </w:r>
      <w:r>
        <w:rPr>
          <w:rFonts w:hint="eastAsia" w:ascii="仿宋_GB2312" w:eastAsia="仿宋_GB2312"/>
          <w:b w:val="0"/>
          <w:bCs w:val="0"/>
          <w:sz w:val="32"/>
          <w:szCs w:val="32"/>
        </w:rPr>
        <w:t>，</w:t>
      </w:r>
      <w:r>
        <w:rPr>
          <w:rFonts w:hint="eastAsia" w:ascii="仿宋_GB2312" w:hAnsi="Times New Roman" w:eastAsia="仿宋_GB2312"/>
          <w:b w:val="0"/>
          <w:bCs w:val="0"/>
          <w:sz w:val="32"/>
          <w:szCs w:val="32"/>
        </w:rPr>
        <w:t>坚定不移贯彻新发展理念，全面融入新发展格局，坚持稳中求进工作总基调，以推动高质量发展为主题，以实施乡村振兴战略为抓手，以改革创新为动力，以满足人民群众日益增长的美好生活需要为目的，全面构建“2+4”现代产业体系，固根基、扬优势、补短板、强弱项，加快“融入大都市、培育新动能、建设新呼兰”，</w:t>
      </w:r>
      <w:r>
        <w:rPr>
          <w:rFonts w:hint="eastAsia" w:ascii="仿宋_GB2312" w:hAnsi="仿宋_GB2312" w:eastAsia="仿宋_GB2312" w:cs="仿宋_GB2312"/>
          <w:b w:val="0"/>
          <w:bCs w:val="0"/>
          <w:sz w:val="32"/>
          <w:szCs w:val="32"/>
          <w:shd w:val="clear" w:color="auto" w:fill="FFFFFF"/>
        </w:rPr>
        <w:t>打造“大健康产业新城”，</w:t>
      </w:r>
      <w:r>
        <w:rPr>
          <w:rFonts w:hint="eastAsia" w:ascii="仿宋_GB2312" w:hAnsi="Times New Roman" w:eastAsia="仿宋_GB2312"/>
          <w:b w:val="0"/>
          <w:bCs w:val="0"/>
          <w:sz w:val="32"/>
          <w:szCs w:val="32"/>
        </w:rPr>
        <w:t>为</w:t>
      </w:r>
      <w:r>
        <w:rPr>
          <w:rFonts w:hint="eastAsia" w:ascii="仿宋_GB2312" w:hAnsi="仿宋_GB2312" w:eastAsia="仿宋_GB2312" w:cs="仿宋_GB2312"/>
          <w:b w:val="0"/>
          <w:bCs w:val="0"/>
          <w:sz w:val="32"/>
          <w:szCs w:val="32"/>
          <w:shd w:val="clear" w:color="auto" w:fill="FFFFFF"/>
        </w:rPr>
        <w:t>推动全面振兴全方位振兴，基本实现社会主义现代化开好局、起好步</w:t>
      </w:r>
      <w:r>
        <w:rPr>
          <w:rFonts w:hint="eastAsia" w:ascii="仿宋_GB2312" w:eastAsia="仿宋_GB2312"/>
          <w:b w:val="0"/>
          <w:bCs w:val="0"/>
          <w:sz w:val="32"/>
          <w:szCs w:val="32"/>
        </w:rPr>
        <w:t>。</w:t>
      </w:r>
    </w:p>
    <w:p>
      <w:pPr>
        <w:keepNext w:val="0"/>
        <w:keepLines w:val="0"/>
        <w:pageBreakBefore w:val="0"/>
        <w:widowControl w:val="0"/>
        <w:kinsoku/>
        <w:wordWrap/>
        <w:overflowPunct/>
        <w:topLinePunct w:val="0"/>
        <w:bidi w:val="0"/>
        <w:spacing w:line="600" w:lineRule="exact"/>
        <w:ind w:left="0"/>
        <w:jc w:val="center"/>
        <w:textAlignment w:val="auto"/>
        <w:outlineLvl w:val="1"/>
        <w:rPr>
          <w:rFonts w:ascii="黑体" w:hAnsi="黑体" w:eastAsia="黑体" w:cs="仿宋"/>
          <w:b w:val="0"/>
          <w:bCs w:val="0"/>
          <w:sz w:val="32"/>
          <w:szCs w:val="32"/>
        </w:rPr>
      </w:pPr>
      <w:bookmarkStart w:id="9" w:name="_Toc12280"/>
      <w:r>
        <w:rPr>
          <w:rFonts w:hint="eastAsia" w:ascii="黑体" w:hAnsi="黑体" w:eastAsia="黑体" w:cs="仿宋"/>
          <w:b w:val="0"/>
          <w:bCs w:val="0"/>
          <w:sz w:val="32"/>
          <w:szCs w:val="32"/>
        </w:rPr>
        <w:t>第二节 基本原则</w:t>
      </w:r>
      <w:bookmarkEnd w:id="9"/>
    </w:p>
    <w:p>
      <w:pPr>
        <w:keepNext w:val="0"/>
        <w:keepLines w:val="0"/>
        <w:pageBreakBefore w:val="0"/>
        <w:widowControl w:val="0"/>
        <w:kinsoku/>
        <w:wordWrap/>
        <w:overflowPunct/>
        <w:topLinePunct w:val="0"/>
        <w:autoSpaceDE w:val="0"/>
        <w:autoSpaceDN w:val="0"/>
        <w:bidi w:val="0"/>
        <w:spacing w:line="600" w:lineRule="exact"/>
        <w:ind w:left="0" w:firstLine="640" w:firstLineChars="200"/>
        <w:jc w:val="both"/>
        <w:textAlignment w:val="auto"/>
        <w:rPr>
          <w:rFonts w:ascii="仿宋_GB2312" w:eastAsia="仿宋_GB2312"/>
          <w:b w:val="0"/>
          <w:bCs w:val="0"/>
          <w:sz w:val="32"/>
          <w:szCs w:val="32"/>
        </w:rPr>
      </w:pPr>
      <w:r>
        <w:rPr>
          <w:rFonts w:hint="eastAsia" w:ascii="楷体" w:hAnsi="楷体" w:eastAsia="楷体" w:cs="仿宋"/>
          <w:b w:val="0"/>
          <w:bCs w:val="0"/>
          <w:sz w:val="32"/>
          <w:szCs w:val="32"/>
        </w:rPr>
        <w:t>——坚持党的全面领导。</w:t>
      </w:r>
      <w:r>
        <w:rPr>
          <w:rFonts w:hint="eastAsia" w:ascii="仿宋_GB2312" w:eastAsia="仿宋_GB2312"/>
          <w:b w:val="0"/>
          <w:bCs w:val="0"/>
          <w:sz w:val="32"/>
          <w:szCs w:val="32"/>
        </w:rPr>
        <w:t>坚持和完善党领导经济社会发展的体制机制，坚持和完善中国特色社会主义制度，不断提高贯彻新发展理念、自觉全面融入新发展格局的能力和水平，为推动高质量发展、实现全面振兴全方位振兴提供根本保证。</w:t>
      </w:r>
    </w:p>
    <w:p>
      <w:pPr>
        <w:keepNext w:val="0"/>
        <w:keepLines w:val="0"/>
        <w:pageBreakBefore w:val="0"/>
        <w:widowControl w:val="0"/>
        <w:kinsoku/>
        <w:wordWrap/>
        <w:overflowPunct/>
        <w:topLinePunct w:val="0"/>
        <w:autoSpaceDE w:val="0"/>
        <w:autoSpaceDN w:val="0"/>
        <w:bidi w:val="0"/>
        <w:spacing w:line="600" w:lineRule="exact"/>
        <w:ind w:left="0"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——坚持以人民为中心。</w:t>
      </w:r>
      <w:r>
        <w:rPr>
          <w:rFonts w:hint="eastAsia" w:ascii="仿宋_GB2312" w:hAnsi="仿宋" w:eastAsia="仿宋_GB2312" w:cs="仿宋"/>
          <w:b w:val="0"/>
          <w:bCs w:val="0"/>
          <w:sz w:val="32"/>
          <w:szCs w:val="32"/>
        </w:rPr>
        <w:t>坚持人民主体地位，坚持共同富裕方向，以满足人民日益增长的美好生活需要为高质量发展的出发点和落脚点，提升基础设施和公共服务设施供给能力，改善人居环境，增进民生福祉，提升百姓获得感、幸福感、安全感，不断实现人民对美好生活的向往。</w:t>
      </w:r>
    </w:p>
    <w:p>
      <w:pPr>
        <w:keepNext w:val="0"/>
        <w:keepLines w:val="0"/>
        <w:pageBreakBefore w:val="0"/>
        <w:widowControl w:val="0"/>
        <w:kinsoku/>
        <w:wordWrap/>
        <w:overflowPunct/>
        <w:topLinePunct w:val="0"/>
        <w:autoSpaceDE w:val="0"/>
        <w:autoSpaceDN w:val="0"/>
        <w:bidi w:val="0"/>
        <w:spacing w:line="600" w:lineRule="exact"/>
        <w:ind w:left="0"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——坚持新发展理念。</w:t>
      </w:r>
      <w:r>
        <w:rPr>
          <w:rFonts w:hint="eastAsia" w:ascii="仿宋_GB2312" w:hAnsi="仿宋" w:eastAsia="仿宋_GB2312" w:cs="仿宋"/>
          <w:b w:val="0"/>
          <w:bCs w:val="0"/>
          <w:sz w:val="32"/>
          <w:szCs w:val="32"/>
        </w:rPr>
        <w:t>把新发展理念贯穿振兴发展全过程和各领域，用新发展理念推动并融入新发展格局，在新发展格局中贯彻新发展理念，切实转变发展方式，提高全要素生产率，推动质量变革、效率变革、动力变革，实现更高质量、更有效率、更加公平、更可持续、更为安全的发展。</w:t>
      </w:r>
    </w:p>
    <w:p>
      <w:pPr>
        <w:keepNext w:val="0"/>
        <w:keepLines w:val="0"/>
        <w:pageBreakBefore w:val="0"/>
        <w:widowControl w:val="0"/>
        <w:kinsoku/>
        <w:wordWrap/>
        <w:overflowPunct/>
        <w:topLinePunct w:val="0"/>
        <w:autoSpaceDE w:val="0"/>
        <w:autoSpaceDN w:val="0"/>
        <w:bidi w:val="0"/>
        <w:spacing w:line="600" w:lineRule="exact"/>
        <w:ind w:left="0"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——坚持深化改革开放。</w:t>
      </w:r>
      <w:r>
        <w:rPr>
          <w:rFonts w:hint="eastAsia" w:ascii="仿宋_GB2312" w:hAnsi="仿宋" w:eastAsia="仿宋_GB2312" w:cs="仿宋"/>
          <w:b w:val="0"/>
          <w:bCs w:val="0"/>
          <w:sz w:val="32"/>
          <w:szCs w:val="32"/>
        </w:rPr>
        <w:t>坚定不移推进改革，坚定不移扩大开放，加强治理体系和治理能力现代化建设，破除制约高质量发展、高品质生活的体制机制障碍，强化有利于提高资源配置效率、有利于调动全社会积极性的重大改革开放举措，推动有效市场和有为政府更好结合，以改革应对变局、开拓新局。</w:t>
      </w:r>
    </w:p>
    <w:p>
      <w:pPr>
        <w:keepNext w:val="0"/>
        <w:keepLines w:val="0"/>
        <w:pageBreakBefore w:val="0"/>
        <w:widowControl w:val="0"/>
        <w:kinsoku/>
        <w:wordWrap/>
        <w:overflowPunct/>
        <w:topLinePunct w:val="0"/>
        <w:autoSpaceDE w:val="0"/>
        <w:autoSpaceDN w:val="0"/>
        <w:bidi w:val="0"/>
        <w:spacing w:line="600" w:lineRule="exact"/>
        <w:ind w:left="0"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——坚持系统观念。</w:t>
      </w:r>
      <w:r>
        <w:rPr>
          <w:rFonts w:hint="eastAsia" w:ascii="仿宋_GB2312" w:hAnsi="仿宋" w:eastAsia="仿宋_GB2312" w:cs="仿宋"/>
          <w:b w:val="0"/>
          <w:bCs w:val="0"/>
          <w:sz w:val="32"/>
          <w:szCs w:val="32"/>
        </w:rPr>
        <w:t>加强前瞻性思考、全局性谋划、战略性布局、整体性推进，着力固根基、扬优势、补短板、强弱项，注重防范化解重大风险挑战，实现发展质量、结构、规模、速度、效益、安全相统一，为振兴发展营造安全稳定环境。</w:t>
      </w:r>
    </w:p>
    <w:p>
      <w:pPr>
        <w:keepNext w:val="0"/>
        <w:keepLines w:val="0"/>
        <w:pageBreakBefore w:val="0"/>
        <w:widowControl w:val="0"/>
        <w:kinsoku/>
        <w:wordWrap/>
        <w:overflowPunct/>
        <w:topLinePunct w:val="0"/>
        <w:bidi w:val="0"/>
        <w:spacing w:line="600" w:lineRule="exact"/>
        <w:ind w:left="0"/>
        <w:jc w:val="center"/>
        <w:textAlignment w:val="auto"/>
        <w:outlineLvl w:val="1"/>
        <w:rPr>
          <w:rFonts w:ascii="黑体" w:hAnsi="黑体" w:eastAsia="黑体" w:cs="仿宋"/>
          <w:b w:val="0"/>
          <w:bCs w:val="0"/>
          <w:sz w:val="32"/>
          <w:szCs w:val="32"/>
        </w:rPr>
      </w:pPr>
      <w:bookmarkStart w:id="10" w:name="_Toc117"/>
      <w:r>
        <w:rPr>
          <w:rFonts w:hint="eastAsia" w:ascii="黑体" w:hAnsi="黑体" w:eastAsia="黑体" w:cs="仿宋"/>
          <w:b w:val="0"/>
          <w:bCs w:val="0"/>
          <w:sz w:val="32"/>
          <w:szCs w:val="32"/>
        </w:rPr>
        <w:t>第三节 发展定位</w:t>
      </w:r>
      <w:bookmarkEnd w:id="10"/>
    </w:p>
    <w:p>
      <w:pPr>
        <w:keepNext w:val="0"/>
        <w:keepLines w:val="0"/>
        <w:pageBreakBefore w:val="0"/>
        <w:widowControl w:val="0"/>
        <w:kinsoku/>
        <w:wordWrap/>
        <w:overflowPunct/>
        <w:topLinePunct w:val="0"/>
        <w:autoSpaceDE w:val="0"/>
        <w:autoSpaceDN w:val="0"/>
        <w:bidi w:val="0"/>
        <w:spacing w:line="600" w:lineRule="exact"/>
        <w:ind w:left="0"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——新区发展联动区。</w:t>
      </w:r>
      <w:r>
        <w:rPr>
          <w:rFonts w:hint="eastAsia" w:ascii="仿宋_GB2312" w:hAnsi="仿宋" w:eastAsia="仿宋_GB2312" w:cs="仿宋"/>
          <w:b w:val="0"/>
          <w:bCs w:val="0"/>
          <w:sz w:val="32"/>
          <w:szCs w:val="32"/>
        </w:rPr>
        <w:t>紧扣哈尔滨新区发展动态，以省市顶层设计和发展规划为指导，发挥呼兰区空间临近和土地能源等资源禀赋的综合优势，积极参与产业互动、主动对接优势资源，为新区发展提供有力支撑。深度融入哈尔滨新区的发展进程，实现与哈尔滨新区的互补协调发展，全面提升呼兰区产业层次和发展水平。突出信息化、绿色化、服务化、高端化的发展方向，近期重点培育绿色农畜产品加工业，中远期重点培育高端制造业和战略性新兴产业，补齐工业短板，推动呼兰区实现高质量发展。</w:t>
      </w:r>
    </w:p>
    <w:p>
      <w:pPr>
        <w:keepNext w:val="0"/>
        <w:keepLines w:val="0"/>
        <w:pageBreakBefore w:val="0"/>
        <w:widowControl w:val="0"/>
        <w:kinsoku/>
        <w:wordWrap/>
        <w:overflowPunct/>
        <w:topLinePunct w:val="0"/>
        <w:autoSpaceDE w:val="0"/>
        <w:autoSpaceDN w:val="0"/>
        <w:bidi w:val="0"/>
        <w:spacing w:line="600" w:lineRule="exact"/>
        <w:ind w:left="0"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——主城外溢承载区。</w:t>
      </w:r>
      <w:r>
        <w:rPr>
          <w:rFonts w:hint="eastAsia" w:ascii="仿宋_GB2312" w:hAnsi="仿宋" w:eastAsia="仿宋_GB2312" w:cs="仿宋"/>
          <w:b w:val="0"/>
          <w:bCs w:val="0"/>
          <w:sz w:val="32"/>
          <w:szCs w:val="32"/>
        </w:rPr>
        <w:t>完善基础设施，优化体制机制，夯实产业基础，加强产业培育，抓住哈尔滨老城区部分产业功能外移的机遇，谋划产业错位发展。承接产业疏解转移，导入相关产业功能，吸引优势资源汇聚呼兰。营造高品</w:t>
      </w:r>
      <w:r>
        <w:rPr>
          <w:rFonts w:hint="eastAsia" w:ascii="仿宋_GB2312" w:hAnsi="仿宋" w:eastAsia="仿宋_GB2312" w:cs="仿宋"/>
          <w:b w:val="0"/>
          <w:bCs w:val="0"/>
          <w:sz w:val="32"/>
          <w:szCs w:val="32"/>
          <w:lang w:val="en-US" w:eastAsia="zh-CN"/>
        </w:rPr>
        <w:t>位</w:t>
      </w:r>
      <w:r>
        <w:rPr>
          <w:rFonts w:hint="eastAsia" w:ascii="仿宋_GB2312" w:hAnsi="仿宋" w:eastAsia="仿宋_GB2312" w:cs="仿宋"/>
          <w:b w:val="0"/>
          <w:bCs w:val="0"/>
          <w:sz w:val="32"/>
          <w:szCs w:val="32"/>
        </w:rPr>
        <w:t>文化氛围，打造宜居城区形象，着力吸引总部经济、会展活动、展览场馆、科技企业入驻和人力资本迁居，打造产学研融合发展的创新高地。</w:t>
      </w:r>
    </w:p>
    <w:p>
      <w:pPr>
        <w:keepNext w:val="0"/>
        <w:keepLines w:val="0"/>
        <w:pageBreakBefore w:val="0"/>
        <w:widowControl w:val="0"/>
        <w:kinsoku/>
        <w:wordWrap/>
        <w:overflowPunct/>
        <w:topLinePunct w:val="0"/>
        <w:autoSpaceDE w:val="0"/>
        <w:autoSpaceDN w:val="0"/>
        <w:bidi w:val="0"/>
        <w:spacing w:line="600" w:lineRule="exact"/>
        <w:ind w:left="0"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——城乡融合示范区。</w:t>
      </w:r>
      <w:r>
        <w:rPr>
          <w:rFonts w:hint="eastAsia" w:ascii="仿宋_GB2312" w:hAnsi="仿宋" w:eastAsia="仿宋_GB2312" w:cs="仿宋"/>
          <w:b w:val="0"/>
          <w:bCs w:val="0"/>
          <w:sz w:val="32"/>
          <w:szCs w:val="32"/>
        </w:rPr>
        <w:t>加强城乡基础设施建设、完善社会保障体系、乡村振兴和脱贫攻坚有效衔接，促进城乡一体化发展。以绿色有机食品高端化、品牌化为切入点，打造都市农业和田园综合体，发展新农业、建设新农村、培育新农民，推进农业现代化进程。提升农村特色风貌，传承乡村文化形式和内涵，建设农村生态经济加快发展、农村生态环境不断改善、资源集约利用水平明显提高、农村生态文化日益繁荣的美丽宜居乡村。</w:t>
      </w:r>
    </w:p>
    <w:p>
      <w:pPr>
        <w:keepNext w:val="0"/>
        <w:keepLines w:val="0"/>
        <w:pageBreakBefore w:val="0"/>
        <w:widowControl w:val="0"/>
        <w:kinsoku/>
        <w:wordWrap/>
        <w:overflowPunct/>
        <w:topLinePunct w:val="0"/>
        <w:autoSpaceDE w:val="0"/>
        <w:autoSpaceDN w:val="0"/>
        <w:bidi w:val="0"/>
        <w:spacing w:line="600" w:lineRule="exact"/>
        <w:ind w:left="0"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——打造大健康产业新城。</w:t>
      </w:r>
      <w:r>
        <w:rPr>
          <w:rFonts w:hint="eastAsia" w:ascii="仿宋_GB2312" w:hAnsi="仿宋" w:eastAsia="仿宋_GB2312" w:cs="仿宋"/>
          <w:b w:val="0"/>
          <w:bCs w:val="0"/>
          <w:sz w:val="32"/>
          <w:szCs w:val="32"/>
        </w:rPr>
        <w:t>围绕发展健康产业、普及健康生活、建设健康社会，打造大健康产业新城。以寒地优质生态农产品供给为引领，以经开区国家级食药大健康产业示范基地为依托，形成大健康产业；依托“一江多河”和国家级湿地公园旅游资源，引入特色文旅和康养产业项目，推动普及生态旅游、文化旅游、健康养老、医疗服务等大健康生活；倡导文明健康的生活方式，树立大健康、大卫生的观念，以人民健康为中心，建设大健康社会。</w:t>
      </w:r>
    </w:p>
    <w:p>
      <w:pPr>
        <w:keepNext w:val="0"/>
        <w:keepLines w:val="0"/>
        <w:pageBreakBefore w:val="0"/>
        <w:widowControl w:val="0"/>
        <w:kinsoku/>
        <w:wordWrap/>
        <w:overflowPunct/>
        <w:topLinePunct w:val="0"/>
        <w:bidi w:val="0"/>
        <w:spacing w:line="600" w:lineRule="exact"/>
        <w:ind w:left="0"/>
        <w:jc w:val="center"/>
        <w:textAlignment w:val="auto"/>
        <w:outlineLvl w:val="1"/>
        <w:rPr>
          <w:rFonts w:ascii="黑体" w:hAnsi="黑体" w:eastAsia="黑体" w:cs="仿宋"/>
          <w:b w:val="0"/>
          <w:bCs w:val="0"/>
          <w:sz w:val="32"/>
          <w:szCs w:val="32"/>
        </w:rPr>
      </w:pPr>
      <w:bookmarkStart w:id="11" w:name="_Toc10229"/>
      <w:r>
        <w:rPr>
          <w:rFonts w:hint="eastAsia" w:ascii="黑体" w:hAnsi="黑体" w:eastAsia="黑体" w:cs="仿宋"/>
          <w:b w:val="0"/>
          <w:bCs w:val="0"/>
          <w:sz w:val="32"/>
          <w:szCs w:val="32"/>
        </w:rPr>
        <w:t>第四节 主要目标</w:t>
      </w:r>
      <w:bookmarkEnd w:id="11"/>
    </w:p>
    <w:p>
      <w:pPr>
        <w:keepNext w:val="0"/>
        <w:keepLines w:val="0"/>
        <w:pageBreakBefore w:val="0"/>
        <w:widowControl w:val="0"/>
        <w:kinsoku/>
        <w:wordWrap/>
        <w:overflowPunct/>
        <w:topLinePunct w:val="0"/>
        <w:bidi w:val="0"/>
        <w:spacing w:line="600" w:lineRule="exact"/>
        <w:ind w:left="0" w:firstLine="640" w:firstLineChars="200"/>
        <w:jc w:val="both"/>
        <w:textAlignment w:val="auto"/>
        <w:rPr>
          <w:rFonts w:ascii="仿宋_GB2312" w:hAnsi="仿宋_GB2312" w:eastAsia="仿宋_GB2312" w:cs="仿宋_GB2312"/>
          <w:b w:val="0"/>
          <w:bCs w:val="0"/>
          <w:sz w:val="32"/>
          <w:szCs w:val="32"/>
        </w:rPr>
      </w:pPr>
      <w:r>
        <w:rPr>
          <w:rFonts w:hint="eastAsia" w:ascii="楷体" w:hAnsi="楷体" w:eastAsia="楷体" w:cs="仿宋"/>
          <w:b w:val="0"/>
          <w:bCs w:val="0"/>
          <w:sz w:val="32"/>
          <w:szCs w:val="32"/>
        </w:rPr>
        <w:t>——综合实力跃上新台阶。</w:t>
      </w:r>
      <w:r>
        <w:rPr>
          <w:rFonts w:hint="eastAsia" w:ascii="仿宋_GB2312" w:hAnsi="仿宋_GB2312" w:eastAsia="仿宋_GB2312" w:cs="仿宋_GB2312"/>
          <w:b w:val="0"/>
          <w:bCs w:val="0"/>
          <w:sz w:val="32"/>
          <w:szCs w:val="32"/>
        </w:rPr>
        <w:t>经济结构明显优化，农业基础持续稳固，“2+4”现代产业体系建设取得重大进展；传统产业全面转型升级；新产业加快聚集、新业态加紧培育、新动能加速转换，经济开发区集聚效应、承载效应、引擎效应充分显现。</w:t>
      </w:r>
    </w:p>
    <w:p>
      <w:pPr>
        <w:keepNext w:val="0"/>
        <w:keepLines w:val="0"/>
        <w:pageBreakBefore w:val="0"/>
        <w:widowControl w:val="0"/>
        <w:kinsoku/>
        <w:wordWrap/>
        <w:overflowPunct/>
        <w:topLinePunct w:val="0"/>
        <w:bidi w:val="0"/>
        <w:spacing w:line="600" w:lineRule="exact"/>
        <w:ind w:left="0" w:firstLine="640" w:firstLineChars="200"/>
        <w:jc w:val="both"/>
        <w:textAlignment w:val="auto"/>
        <w:rPr>
          <w:rFonts w:ascii="仿宋_GB2312" w:hAnsi="仿宋_GB2312" w:eastAsia="仿宋_GB2312" w:cs="仿宋_GB2312"/>
          <w:b w:val="0"/>
          <w:bCs w:val="0"/>
          <w:sz w:val="32"/>
          <w:szCs w:val="32"/>
        </w:rPr>
      </w:pPr>
      <w:r>
        <w:rPr>
          <w:rFonts w:hint="eastAsia" w:ascii="楷体" w:hAnsi="楷体" w:eastAsia="楷体" w:cs="仿宋"/>
          <w:b w:val="0"/>
          <w:bCs w:val="0"/>
          <w:sz w:val="32"/>
          <w:szCs w:val="32"/>
        </w:rPr>
        <w:t>——改革创新迈出新步伐。</w:t>
      </w:r>
      <w:r>
        <w:rPr>
          <w:rFonts w:hint="eastAsia" w:ascii="仿宋_GB2312" w:hAnsi="仿宋_GB2312" w:eastAsia="仿宋_GB2312" w:cs="仿宋_GB2312"/>
          <w:b w:val="0"/>
          <w:bCs w:val="0"/>
          <w:sz w:val="32"/>
          <w:szCs w:val="32"/>
        </w:rPr>
        <w:t>体制机制创新取得重大进展，以改革创新为核心的时代精神扎根呼兰大地，产权制度、要素市场等重点改革提速加力，高质量发展制度体系逐步完善，生产要素流动更趋合理，融入新区发展取得重要进展，市场主体活力、内生动力、驱动能力有效激发，“办事不求人”的一流营商环境建设实现重大突破。</w:t>
      </w:r>
    </w:p>
    <w:p>
      <w:pPr>
        <w:keepNext w:val="0"/>
        <w:keepLines w:val="0"/>
        <w:pageBreakBefore w:val="0"/>
        <w:widowControl w:val="0"/>
        <w:kinsoku/>
        <w:wordWrap/>
        <w:overflowPunct/>
        <w:topLinePunct w:val="0"/>
        <w:bidi w:val="0"/>
        <w:spacing w:line="600" w:lineRule="exact"/>
        <w:ind w:left="0" w:firstLine="640" w:firstLineChars="200"/>
        <w:jc w:val="both"/>
        <w:textAlignment w:val="auto"/>
        <w:rPr>
          <w:rFonts w:ascii="仿宋_GB2312" w:eastAsia="仿宋_GB2312"/>
          <w:b w:val="0"/>
          <w:bCs w:val="0"/>
          <w:sz w:val="32"/>
          <w:szCs w:val="32"/>
        </w:rPr>
      </w:pPr>
      <w:r>
        <w:rPr>
          <w:rFonts w:hint="eastAsia" w:ascii="楷体" w:hAnsi="楷体" w:eastAsia="楷体" w:cs="仿宋"/>
          <w:b w:val="0"/>
          <w:bCs w:val="0"/>
          <w:sz w:val="32"/>
          <w:szCs w:val="32"/>
        </w:rPr>
        <w:t>——城乡融合取得新成效。</w:t>
      </w:r>
      <w:r>
        <w:rPr>
          <w:rFonts w:hint="eastAsia" w:ascii="仿宋_GB2312" w:eastAsia="仿宋_GB2312"/>
          <w:b w:val="0"/>
          <w:bCs w:val="0"/>
          <w:sz w:val="32"/>
          <w:szCs w:val="32"/>
        </w:rPr>
        <w:t>城镇综合承载能力显著增强，常住人口城镇化率快速提升，农村基础设施配套更趋完善，城乡基本公共服务均等化水平大幅提升，脱贫攻坚与乡村振兴有效衔接。</w:t>
      </w:r>
    </w:p>
    <w:p>
      <w:pPr>
        <w:keepNext w:val="0"/>
        <w:keepLines w:val="0"/>
        <w:pageBreakBefore w:val="0"/>
        <w:widowControl w:val="0"/>
        <w:kinsoku/>
        <w:wordWrap/>
        <w:overflowPunct/>
        <w:topLinePunct w:val="0"/>
        <w:bidi w:val="0"/>
        <w:spacing w:line="600" w:lineRule="exact"/>
        <w:ind w:left="0" w:firstLine="640" w:firstLineChars="200"/>
        <w:jc w:val="both"/>
        <w:textAlignment w:val="auto"/>
        <w:rPr>
          <w:rFonts w:ascii="仿宋_GB2312" w:eastAsia="仿宋_GB2312"/>
          <w:b w:val="0"/>
          <w:bCs w:val="0"/>
          <w:sz w:val="32"/>
          <w:szCs w:val="32"/>
        </w:rPr>
      </w:pPr>
      <w:r>
        <w:rPr>
          <w:rFonts w:hint="eastAsia" w:ascii="楷体" w:hAnsi="楷体" w:eastAsia="楷体" w:cs="仿宋"/>
          <w:b w:val="0"/>
          <w:bCs w:val="0"/>
          <w:sz w:val="32"/>
          <w:szCs w:val="32"/>
        </w:rPr>
        <w:t>——生态文明收获新进步。</w:t>
      </w:r>
      <w:r>
        <w:rPr>
          <w:rFonts w:hint="eastAsia" w:ascii="仿宋_GB2312" w:eastAsia="仿宋_GB2312"/>
          <w:b w:val="0"/>
          <w:bCs w:val="0"/>
          <w:sz w:val="32"/>
          <w:szCs w:val="32"/>
        </w:rPr>
        <w:t>生产生活方式绿色转型成效显著，主要污染物排放总量持续减少，水、大气、土壤等生态环境大为改善，资源利用效率明显提高，生态文明制度体系基本建立，绿色成为呼兰高质量发展的鲜明底色。</w:t>
      </w:r>
    </w:p>
    <w:p>
      <w:pPr>
        <w:keepNext w:val="0"/>
        <w:keepLines w:val="0"/>
        <w:pageBreakBefore w:val="0"/>
        <w:widowControl w:val="0"/>
        <w:kinsoku/>
        <w:wordWrap/>
        <w:overflowPunct/>
        <w:topLinePunct w:val="0"/>
        <w:bidi w:val="0"/>
        <w:spacing w:line="600" w:lineRule="exact"/>
        <w:ind w:left="0" w:firstLine="640" w:firstLineChars="200"/>
        <w:jc w:val="both"/>
        <w:textAlignment w:val="auto"/>
        <w:rPr>
          <w:rFonts w:ascii="仿宋_GB2312" w:eastAsia="仿宋_GB2312"/>
          <w:b w:val="0"/>
          <w:bCs w:val="0"/>
          <w:sz w:val="32"/>
          <w:szCs w:val="32"/>
        </w:rPr>
      </w:pPr>
      <w:r>
        <w:rPr>
          <w:rFonts w:hint="eastAsia" w:ascii="楷体" w:hAnsi="楷体" w:eastAsia="楷体" w:cs="仿宋"/>
          <w:b w:val="0"/>
          <w:bCs w:val="0"/>
          <w:sz w:val="32"/>
          <w:szCs w:val="32"/>
        </w:rPr>
        <w:t>——民生保障开创新局面。</w:t>
      </w:r>
      <w:r>
        <w:rPr>
          <w:rFonts w:hint="eastAsia" w:ascii="仿宋_GB2312" w:eastAsia="仿宋_GB2312"/>
          <w:b w:val="0"/>
          <w:bCs w:val="0"/>
          <w:sz w:val="32"/>
          <w:szCs w:val="32"/>
        </w:rPr>
        <w:t>城乡居民收入持续提高，就业更加充分，社会保障体系更加健全，教育水平明显提升，医疗健康体系逐步完善，文化事业、文化产业蓬勃发展，文明程度不断提高，群众获得感幸福感显著增强。</w:t>
      </w:r>
    </w:p>
    <w:p>
      <w:pPr>
        <w:keepNext w:val="0"/>
        <w:keepLines w:val="0"/>
        <w:pageBreakBefore w:val="0"/>
        <w:widowControl w:val="0"/>
        <w:kinsoku/>
        <w:wordWrap/>
        <w:overflowPunct/>
        <w:topLinePunct w:val="0"/>
        <w:bidi w:val="0"/>
        <w:spacing w:line="600" w:lineRule="exact"/>
        <w:ind w:left="0" w:firstLine="640" w:firstLineChars="200"/>
        <w:jc w:val="both"/>
        <w:textAlignment w:val="auto"/>
        <w:rPr>
          <w:rFonts w:ascii="仿宋_GB2312" w:eastAsia="仿宋_GB2312"/>
          <w:b w:val="0"/>
          <w:bCs w:val="0"/>
          <w:sz w:val="32"/>
          <w:szCs w:val="32"/>
        </w:rPr>
      </w:pPr>
      <w:r>
        <w:rPr>
          <w:rFonts w:hint="eastAsia" w:ascii="楷体" w:hAnsi="楷体" w:eastAsia="楷体" w:cs="仿宋"/>
          <w:b w:val="0"/>
          <w:bCs w:val="0"/>
          <w:sz w:val="32"/>
          <w:szCs w:val="32"/>
        </w:rPr>
        <w:t>——社会治理得到新提升。</w:t>
      </w:r>
      <w:r>
        <w:rPr>
          <w:rFonts w:hint="eastAsia" w:ascii="仿宋_GB2312" w:eastAsia="仿宋_GB2312"/>
          <w:b w:val="0"/>
          <w:bCs w:val="0"/>
          <w:sz w:val="32"/>
          <w:szCs w:val="32"/>
        </w:rPr>
        <w:t>依法治区迈出坚实步伐，扫黑除恶常态推进，社会公平正义进一步彰显，共建共治共享的社会治理体系更加健全，基层基础更加稳固，正风肃纪更加有力，防范化解重大风险体制机制不断健全，突发公共事件应急能力显著增强，发展安全保障更加有效。</w:t>
      </w:r>
    </w:p>
    <w:p>
      <w:pPr>
        <w:keepNext w:val="0"/>
        <w:keepLines w:val="0"/>
        <w:pageBreakBefore w:val="0"/>
        <w:widowControl w:val="0"/>
        <w:kinsoku/>
        <w:wordWrap/>
        <w:overflowPunct/>
        <w:topLinePunct w:val="0"/>
        <w:bidi w:val="0"/>
        <w:spacing w:line="600" w:lineRule="exact"/>
        <w:ind w:left="0"/>
        <w:jc w:val="center"/>
        <w:textAlignment w:val="auto"/>
        <w:outlineLvl w:val="1"/>
        <w:rPr>
          <w:rFonts w:ascii="黑体" w:hAnsi="黑体" w:eastAsia="黑体" w:cs="仿宋"/>
          <w:b w:val="0"/>
          <w:bCs w:val="0"/>
          <w:sz w:val="32"/>
          <w:szCs w:val="32"/>
        </w:rPr>
      </w:pPr>
      <w:bookmarkStart w:id="12" w:name="_Toc25406"/>
      <w:r>
        <w:rPr>
          <w:rFonts w:hint="eastAsia" w:ascii="黑体" w:hAnsi="黑体" w:eastAsia="黑体" w:cs="仿宋"/>
          <w:b w:val="0"/>
          <w:bCs w:val="0"/>
          <w:sz w:val="32"/>
          <w:szCs w:val="32"/>
        </w:rPr>
        <w:t>第五节 到2035年基本实现社会主义现代化的远景目标</w:t>
      </w:r>
      <w:bookmarkEnd w:id="12"/>
    </w:p>
    <w:p>
      <w:pPr>
        <w:keepNext w:val="0"/>
        <w:keepLines w:val="0"/>
        <w:pageBreakBefore w:val="0"/>
        <w:widowControl w:val="0"/>
        <w:kinsoku/>
        <w:wordWrap/>
        <w:overflowPunct/>
        <w:topLinePunct w:val="0"/>
        <w:autoSpaceDE w:val="0"/>
        <w:autoSpaceDN w:val="0"/>
        <w:bidi w:val="0"/>
        <w:spacing w:line="600" w:lineRule="exact"/>
        <w:ind w:left="0" w:firstLine="640" w:firstLineChars="200"/>
        <w:jc w:val="both"/>
        <w:textAlignment w:val="auto"/>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紧紧围绕党的十九届五中全会战略安排，按照省第十二次党代会和省委十二届五次全会描绘的宏伟蓝图，全面围绕省市的发展目标，基本实现呼兰社会主义现代化。呼兰经济开发区成为集群式发展、具有较高知名度和影响力的百亿级综合产业集聚区，成为全市重要的绿色农产品精深加工制造基地；新时代文化体系基本建设，国民素质和社会文明程度达到新高度，成为我市一江一河引领、绿色发展的典范；基本实现治理体系和治理能力现代化，建成法治政府、法治社会、法治呼兰，综合实力在全市排名显著提升，人民生活更加美好。到2035年将呼兰建设成“大健康产业新城”。 </w:t>
      </w:r>
    </w:p>
    <w:p>
      <w:pPr>
        <w:rPr>
          <w:b w:val="0"/>
          <w:bCs w:val="0"/>
        </w:rPr>
      </w:pPr>
    </w:p>
    <w:p>
      <w:pPr>
        <w:pStyle w:val="2"/>
        <w:jc w:val="center"/>
        <w:rPr>
          <w:rFonts w:ascii="黑体" w:hAnsi="黑体" w:eastAsia="黑体" w:cs="仿宋"/>
          <w:b w:val="0"/>
          <w:bCs w:val="0"/>
          <w:sz w:val="30"/>
          <w:szCs w:val="30"/>
        </w:rPr>
      </w:pPr>
      <w:r>
        <w:rPr>
          <w:rFonts w:hint="eastAsia" w:ascii="黑体" w:hAnsi="黑体" w:eastAsia="黑体" w:cs="仿宋"/>
          <w:b w:val="0"/>
          <w:bCs w:val="0"/>
          <w:sz w:val="30"/>
          <w:szCs w:val="30"/>
        </w:rPr>
        <w:t>表1</w:t>
      </w:r>
      <w:r>
        <w:rPr>
          <w:rFonts w:ascii="黑体" w:hAnsi="黑体" w:eastAsia="黑体" w:cs="仿宋"/>
          <w:b w:val="0"/>
          <w:bCs w:val="0"/>
          <w:sz w:val="30"/>
          <w:szCs w:val="30"/>
        </w:rPr>
        <w:t xml:space="preserve"> </w:t>
      </w:r>
      <w:r>
        <w:rPr>
          <w:rFonts w:hint="eastAsia" w:ascii="黑体" w:hAnsi="黑体" w:eastAsia="黑体" w:cs="仿宋"/>
          <w:b w:val="0"/>
          <w:bCs w:val="0"/>
          <w:sz w:val="30"/>
          <w:szCs w:val="30"/>
        </w:rPr>
        <w:t>“十四五”时期经济社会发展主要指标表</w:t>
      </w:r>
    </w:p>
    <w:tbl>
      <w:tblPr>
        <w:tblStyle w:val="6"/>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992"/>
        <w:gridCol w:w="992"/>
        <w:gridCol w:w="1134"/>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类别</w:t>
            </w:r>
          </w:p>
        </w:tc>
        <w:tc>
          <w:tcPr>
            <w:tcW w:w="4111" w:type="dxa"/>
            <w:gridSpan w:val="2"/>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指    标</w:t>
            </w:r>
          </w:p>
        </w:tc>
        <w:tc>
          <w:tcPr>
            <w:tcW w:w="99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2020年</w:t>
            </w:r>
          </w:p>
        </w:tc>
        <w:tc>
          <w:tcPr>
            <w:tcW w:w="1134"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2025年</w:t>
            </w:r>
          </w:p>
        </w:tc>
        <w:tc>
          <w:tcPr>
            <w:tcW w:w="1134"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年均增长（%）</w:t>
            </w: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经济发展</w:t>
            </w:r>
          </w:p>
        </w:tc>
        <w:tc>
          <w:tcPr>
            <w:tcW w:w="4111" w:type="dxa"/>
            <w:gridSpan w:val="2"/>
            <w:noWrap w:val="0"/>
            <w:vAlign w:val="center"/>
          </w:tcPr>
          <w:p>
            <w:pPr>
              <w:autoSpaceDE w:val="0"/>
              <w:autoSpaceDN w:val="0"/>
              <w:rPr>
                <w:rFonts w:ascii="仿宋_GB2312" w:hAnsi="仿宋" w:eastAsia="仿宋_GB2312" w:cs="仿宋"/>
                <w:b w:val="0"/>
                <w:bCs w:val="0"/>
                <w:szCs w:val="21"/>
              </w:rPr>
            </w:pPr>
            <w:r>
              <w:rPr>
                <w:rFonts w:hint="eastAsia" w:ascii="仿宋_GB2312" w:hAnsi="仿宋" w:eastAsia="仿宋_GB2312" w:cs="仿宋"/>
                <w:b w:val="0"/>
                <w:bCs w:val="0"/>
                <w:szCs w:val="21"/>
              </w:rPr>
              <w:t>1.地区生产总值增长率（%）</w:t>
            </w:r>
          </w:p>
        </w:tc>
        <w:tc>
          <w:tcPr>
            <w:tcW w:w="992" w:type="dxa"/>
            <w:noWrap w:val="0"/>
            <w:vAlign w:val="center"/>
          </w:tcPr>
          <w:p>
            <w:pPr>
              <w:autoSpaceDE w:val="0"/>
              <w:autoSpaceDN w:val="0"/>
              <w:jc w:val="center"/>
              <w:rPr>
                <w:rFonts w:ascii="仿宋_GB2312" w:hAnsi="仿宋" w:eastAsia="仿宋_GB2312" w:cs="仿宋"/>
                <w:b w:val="0"/>
                <w:bCs w:val="0"/>
                <w:szCs w:val="21"/>
              </w:rPr>
            </w:pPr>
            <w:r>
              <w:rPr>
                <w:rFonts w:ascii="仿宋_GB2312" w:hAnsi="仿宋" w:eastAsia="仿宋_GB2312" w:cs="仿宋"/>
                <w:b w:val="0"/>
                <w:bCs w:val="0"/>
                <w:szCs w:val="21"/>
              </w:rPr>
              <w:t>0.2</w:t>
            </w:r>
            <w:r>
              <w:rPr>
                <w:rFonts w:hint="eastAsia" w:ascii="仿宋_GB2312" w:hAnsi="仿宋" w:eastAsia="仿宋_GB2312" w:cs="仿宋"/>
                <w:b w:val="0"/>
                <w:bCs w:val="0"/>
                <w:szCs w:val="21"/>
              </w:rPr>
              <w:t>%</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1134"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5.5</w:t>
            </w:r>
            <w:r>
              <w:rPr>
                <w:rFonts w:ascii="仿宋_GB2312" w:hAnsi="仿宋" w:eastAsia="仿宋_GB2312" w:cs="仿宋"/>
                <w:b w:val="0"/>
                <w:bCs w:val="0"/>
                <w:szCs w:val="21"/>
              </w:rPr>
              <w:t>-6</w:t>
            </w: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autoSpaceDE w:val="0"/>
              <w:autoSpaceDN w:val="0"/>
              <w:jc w:val="center"/>
              <w:rPr>
                <w:rFonts w:ascii="仿宋_GB2312" w:hAnsi="仿宋" w:eastAsia="仿宋_GB2312" w:cs="仿宋"/>
                <w:b w:val="0"/>
                <w:bCs w:val="0"/>
                <w:szCs w:val="21"/>
              </w:rPr>
            </w:pPr>
          </w:p>
        </w:tc>
        <w:tc>
          <w:tcPr>
            <w:tcW w:w="4111" w:type="dxa"/>
            <w:gridSpan w:val="2"/>
            <w:noWrap w:val="0"/>
            <w:vAlign w:val="center"/>
          </w:tcPr>
          <w:p>
            <w:pPr>
              <w:autoSpaceDE w:val="0"/>
              <w:autoSpaceDN w:val="0"/>
              <w:rPr>
                <w:rFonts w:ascii="仿宋_GB2312" w:hAnsi="仿宋" w:eastAsia="仿宋_GB2312" w:cs="仿宋"/>
                <w:b w:val="0"/>
                <w:bCs w:val="0"/>
                <w:szCs w:val="21"/>
              </w:rPr>
            </w:pPr>
            <w:r>
              <w:rPr>
                <w:rFonts w:ascii="仿宋_GB2312" w:hAnsi="仿宋" w:eastAsia="仿宋_GB2312" w:cs="仿宋"/>
                <w:b w:val="0"/>
                <w:bCs w:val="0"/>
                <w:szCs w:val="21"/>
              </w:rPr>
              <w:t>2</w:t>
            </w:r>
            <w:r>
              <w:rPr>
                <w:rFonts w:hint="eastAsia" w:ascii="仿宋_GB2312" w:hAnsi="仿宋" w:eastAsia="仿宋_GB2312" w:cs="仿宋"/>
                <w:b w:val="0"/>
                <w:bCs w:val="0"/>
                <w:szCs w:val="21"/>
              </w:rPr>
              <w:t>.工业增加值占GDP比重（%）</w:t>
            </w:r>
          </w:p>
        </w:tc>
        <w:tc>
          <w:tcPr>
            <w:tcW w:w="99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14</w:t>
            </w:r>
            <w:r>
              <w:rPr>
                <w:rFonts w:hint="eastAsia" w:ascii="仿宋_GB2312" w:hAnsi="微软雅黑" w:eastAsia="仿宋_GB2312" w:cs="微软雅黑"/>
                <w:b w:val="0"/>
                <w:bCs w:val="0"/>
              </w:rPr>
              <w:t>*</w:t>
            </w:r>
          </w:p>
        </w:tc>
        <w:tc>
          <w:tcPr>
            <w:tcW w:w="1134" w:type="dxa"/>
            <w:noWrap w:val="0"/>
            <w:vAlign w:val="center"/>
          </w:tcPr>
          <w:p>
            <w:pPr>
              <w:autoSpaceDE w:val="0"/>
              <w:autoSpaceDN w:val="0"/>
              <w:jc w:val="center"/>
              <w:rPr>
                <w:rFonts w:ascii="仿宋_GB2312" w:hAnsi="仿宋" w:eastAsia="仿宋_GB2312" w:cs="仿宋"/>
                <w:b w:val="0"/>
                <w:bCs w:val="0"/>
                <w:szCs w:val="21"/>
              </w:rPr>
            </w:pPr>
            <w:bookmarkStart w:id="13" w:name="OLE_LINK2"/>
            <w:r>
              <w:rPr>
                <w:rFonts w:hint="eastAsia" w:ascii="仿宋_GB2312" w:hAnsi="仿宋" w:eastAsia="仿宋_GB2312" w:cs="仿宋"/>
                <w:b w:val="0"/>
                <w:bCs w:val="0"/>
                <w:szCs w:val="21"/>
              </w:rPr>
              <w:t>＞</w:t>
            </w:r>
            <w:bookmarkEnd w:id="13"/>
            <w:r>
              <w:rPr>
                <w:rFonts w:ascii="仿宋_GB2312" w:hAnsi="仿宋" w:eastAsia="仿宋_GB2312" w:cs="仿宋"/>
                <w:b w:val="0"/>
                <w:bCs w:val="0"/>
                <w:szCs w:val="21"/>
              </w:rPr>
              <w:t>20</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autoSpaceDE w:val="0"/>
              <w:autoSpaceDN w:val="0"/>
              <w:jc w:val="center"/>
              <w:rPr>
                <w:rFonts w:ascii="仿宋_GB2312" w:hAnsi="仿宋" w:eastAsia="仿宋_GB2312" w:cs="仿宋"/>
                <w:b w:val="0"/>
                <w:bCs w:val="0"/>
                <w:szCs w:val="21"/>
              </w:rPr>
            </w:pPr>
          </w:p>
        </w:tc>
        <w:tc>
          <w:tcPr>
            <w:tcW w:w="4111" w:type="dxa"/>
            <w:gridSpan w:val="2"/>
            <w:noWrap w:val="0"/>
            <w:vAlign w:val="center"/>
          </w:tcPr>
          <w:p>
            <w:pPr>
              <w:autoSpaceDE w:val="0"/>
              <w:autoSpaceDN w:val="0"/>
              <w:rPr>
                <w:rFonts w:ascii="仿宋_GB2312" w:hAnsi="仿宋" w:eastAsia="仿宋_GB2312" w:cs="仿宋"/>
                <w:b w:val="0"/>
                <w:bCs w:val="0"/>
                <w:szCs w:val="21"/>
              </w:rPr>
            </w:pPr>
            <w:r>
              <w:rPr>
                <w:rFonts w:ascii="仿宋_GB2312" w:hAnsi="仿宋" w:eastAsia="仿宋_GB2312" w:cs="仿宋"/>
                <w:b w:val="0"/>
                <w:bCs w:val="0"/>
                <w:szCs w:val="21"/>
              </w:rPr>
              <w:t>3</w:t>
            </w:r>
            <w:r>
              <w:rPr>
                <w:rFonts w:hint="eastAsia" w:ascii="仿宋_GB2312" w:hAnsi="仿宋" w:eastAsia="仿宋_GB2312" w:cs="仿宋"/>
                <w:b w:val="0"/>
                <w:bCs w:val="0"/>
                <w:szCs w:val="21"/>
              </w:rPr>
              <w:t>.常住人口城镇化率（%）</w:t>
            </w:r>
          </w:p>
        </w:tc>
        <w:tc>
          <w:tcPr>
            <w:tcW w:w="99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微软雅黑" w:eastAsia="仿宋_GB2312" w:cs="微软雅黑"/>
                <w:b w:val="0"/>
                <w:bCs w:val="0"/>
                <w:sz w:val="16"/>
                <w:szCs w:val="16"/>
                <w:shd w:val="clear" w:color="auto" w:fill="FFFFFF"/>
              </w:rPr>
              <w:t>35.3</w:t>
            </w:r>
            <w:r>
              <w:rPr>
                <w:rFonts w:hint="eastAsia" w:ascii="仿宋_GB2312" w:hAnsi="微软雅黑" w:eastAsia="仿宋_GB2312" w:cs="微软雅黑"/>
                <w:b w:val="0"/>
                <w:bCs w:val="0"/>
              </w:rPr>
              <w:t>*</w:t>
            </w:r>
          </w:p>
        </w:tc>
        <w:tc>
          <w:tcPr>
            <w:tcW w:w="1134"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＞40</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autoSpaceDE w:val="0"/>
              <w:autoSpaceDN w:val="0"/>
              <w:jc w:val="center"/>
              <w:rPr>
                <w:rFonts w:ascii="仿宋_GB2312" w:hAnsi="仿宋" w:eastAsia="仿宋_GB2312" w:cs="仿宋"/>
                <w:b w:val="0"/>
                <w:bCs w:val="0"/>
                <w:szCs w:val="21"/>
              </w:rPr>
            </w:pPr>
          </w:p>
        </w:tc>
        <w:tc>
          <w:tcPr>
            <w:tcW w:w="4111" w:type="dxa"/>
            <w:gridSpan w:val="2"/>
            <w:noWrap w:val="0"/>
            <w:vAlign w:val="center"/>
          </w:tcPr>
          <w:p>
            <w:pPr>
              <w:autoSpaceDE w:val="0"/>
              <w:autoSpaceDN w:val="0"/>
              <w:rPr>
                <w:rFonts w:ascii="仿宋_GB2312" w:hAnsi="仿宋" w:eastAsia="仿宋_GB2312" w:cs="仿宋"/>
                <w:b w:val="0"/>
                <w:bCs w:val="0"/>
                <w:szCs w:val="21"/>
              </w:rPr>
            </w:pPr>
            <w:r>
              <w:rPr>
                <w:rFonts w:ascii="仿宋_GB2312" w:hAnsi="仿宋" w:eastAsia="仿宋_GB2312" w:cs="仿宋"/>
                <w:b w:val="0"/>
                <w:bCs w:val="0"/>
                <w:szCs w:val="21"/>
              </w:rPr>
              <w:t>4</w:t>
            </w:r>
            <w:r>
              <w:rPr>
                <w:rFonts w:hint="eastAsia" w:ascii="仿宋_GB2312" w:hAnsi="仿宋" w:eastAsia="仿宋_GB2312" w:cs="仿宋"/>
                <w:b w:val="0"/>
                <w:bCs w:val="0"/>
                <w:szCs w:val="21"/>
              </w:rPr>
              <w:t>.民营经济增加值占GDP比重（%）</w:t>
            </w:r>
          </w:p>
        </w:tc>
        <w:tc>
          <w:tcPr>
            <w:tcW w:w="992" w:type="dxa"/>
            <w:noWrap w:val="0"/>
            <w:vAlign w:val="center"/>
          </w:tcPr>
          <w:p>
            <w:pPr>
              <w:autoSpaceDE w:val="0"/>
              <w:autoSpaceDN w:val="0"/>
              <w:jc w:val="center"/>
              <w:rPr>
                <w:rFonts w:ascii="仿宋_GB2312" w:hAnsi="仿宋" w:eastAsia="仿宋_GB2312" w:cs="仿宋"/>
                <w:b w:val="0"/>
                <w:bCs w:val="0"/>
                <w:szCs w:val="21"/>
              </w:rPr>
            </w:pPr>
          </w:p>
        </w:tc>
        <w:tc>
          <w:tcPr>
            <w:tcW w:w="1134" w:type="dxa"/>
            <w:noWrap w:val="0"/>
            <w:vAlign w:val="center"/>
          </w:tcPr>
          <w:p>
            <w:pPr>
              <w:tabs>
                <w:tab w:val="left" w:pos="389"/>
              </w:tabs>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w:t>
            </w:r>
            <w:r>
              <w:rPr>
                <w:rFonts w:ascii="仿宋_GB2312" w:hAnsi="仿宋" w:eastAsia="仿宋_GB2312" w:cs="仿宋"/>
                <w:b w:val="0"/>
                <w:bCs w:val="0"/>
                <w:szCs w:val="21"/>
              </w:rPr>
              <w:t>50</w:t>
            </w:r>
          </w:p>
        </w:tc>
        <w:tc>
          <w:tcPr>
            <w:tcW w:w="1134" w:type="dxa"/>
            <w:noWrap w:val="0"/>
            <w:vAlign w:val="center"/>
          </w:tcPr>
          <w:p>
            <w:pPr>
              <w:tabs>
                <w:tab w:val="left" w:pos="389"/>
              </w:tabs>
              <w:autoSpaceDE w:val="0"/>
              <w:autoSpaceDN w:val="0"/>
              <w:jc w:val="center"/>
              <w:rPr>
                <w:rFonts w:ascii="仿宋_GB2312" w:hAnsi="仿宋" w:eastAsia="仿宋_GB2312" w:cs="仿宋"/>
                <w:b w:val="0"/>
                <w:bCs w:val="0"/>
                <w:szCs w:val="21"/>
              </w:rPr>
            </w:pP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autoSpaceDE w:val="0"/>
              <w:autoSpaceDN w:val="0"/>
              <w:jc w:val="center"/>
              <w:rPr>
                <w:rFonts w:ascii="仿宋_GB2312" w:hAnsi="仿宋" w:eastAsia="仿宋_GB2312" w:cs="仿宋"/>
                <w:b w:val="0"/>
                <w:bCs w:val="0"/>
                <w:szCs w:val="21"/>
              </w:rPr>
            </w:pPr>
          </w:p>
        </w:tc>
        <w:tc>
          <w:tcPr>
            <w:tcW w:w="4111" w:type="dxa"/>
            <w:gridSpan w:val="2"/>
            <w:noWrap w:val="0"/>
            <w:vAlign w:val="center"/>
          </w:tcPr>
          <w:p>
            <w:pPr>
              <w:autoSpaceDE w:val="0"/>
              <w:autoSpaceDN w:val="0"/>
              <w:rPr>
                <w:rFonts w:ascii="仿宋_GB2312" w:hAnsi="仿宋" w:eastAsia="仿宋_GB2312" w:cs="仿宋"/>
                <w:b w:val="0"/>
                <w:bCs w:val="0"/>
                <w:szCs w:val="21"/>
              </w:rPr>
            </w:pPr>
            <w:r>
              <w:rPr>
                <w:rFonts w:ascii="仿宋_GB2312" w:hAnsi="仿宋" w:eastAsia="仿宋_GB2312" w:cs="仿宋"/>
                <w:b w:val="0"/>
                <w:bCs w:val="0"/>
                <w:szCs w:val="21"/>
              </w:rPr>
              <w:t>5</w:t>
            </w:r>
            <w:r>
              <w:rPr>
                <w:rFonts w:hint="eastAsia" w:ascii="仿宋_GB2312" w:hAnsi="仿宋" w:eastAsia="仿宋_GB2312" w:cs="仿宋"/>
                <w:b w:val="0"/>
                <w:bCs w:val="0"/>
                <w:szCs w:val="21"/>
              </w:rPr>
              <w:t>.每万人拥有新登记市场主体数（户）</w:t>
            </w:r>
          </w:p>
        </w:tc>
        <w:tc>
          <w:tcPr>
            <w:tcW w:w="99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70.9</w:t>
            </w:r>
          </w:p>
        </w:tc>
        <w:tc>
          <w:tcPr>
            <w:tcW w:w="1134"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76.1</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创新驱动</w:t>
            </w:r>
          </w:p>
        </w:tc>
        <w:tc>
          <w:tcPr>
            <w:tcW w:w="4111" w:type="dxa"/>
            <w:gridSpan w:val="2"/>
            <w:noWrap w:val="0"/>
            <w:vAlign w:val="center"/>
          </w:tcPr>
          <w:p>
            <w:pPr>
              <w:autoSpaceDE w:val="0"/>
              <w:autoSpaceDN w:val="0"/>
              <w:rPr>
                <w:rFonts w:ascii="仿宋_GB2312" w:hAnsi="仿宋" w:eastAsia="仿宋_GB2312" w:cs="仿宋"/>
                <w:b w:val="0"/>
                <w:bCs w:val="0"/>
                <w:szCs w:val="21"/>
              </w:rPr>
            </w:pPr>
            <w:r>
              <w:rPr>
                <w:rFonts w:ascii="仿宋_GB2312" w:hAnsi="仿宋" w:eastAsia="仿宋_GB2312" w:cs="仿宋"/>
                <w:b w:val="0"/>
                <w:bCs w:val="0"/>
                <w:szCs w:val="21"/>
              </w:rPr>
              <w:t>6</w:t>
            </w:r>
            <w:r>
              <w:rPr>
                <w:rFonts w:hint="eastAsia" w:ascii="仿宋_GB2312" w:hAnsi="仿宋" w:eastAsia="仿宋_GB2312" w:cs="仿宋"/>
                <w:b w:val="0"/>
                <w:bCs w:val="0"/>
                <w:szCs w:val="21"/>
              </w:rPr>
              <w:t>.研发经费投入占GDP比重（%）</w:t>
            </w:r>
          </w:p>
        </w:tc>
        <w:tc>
          <w:tcPr>
            <w:tcW w:w="992" w:type="dxa"/>
            <w:noWrap w:val="0"/>
            <w:vAlign w:val="center"/>
          </w:tcPr>
          <w:p>
            <w:pPr>
              <w:autoSpaceDE w:val="0"/>
              <w:autoSpaceDN w:val="0"/>
              <w:jc w:val="center"/>
              <w:rPr>
                <w:rFonts w:ascii="仿宋_GB2312" w:hAnsi="仿宋" w:eastAsia="仿宋_GB2312" w:cs="仿宋"/>
                <w:b w:val="0"/>
                <w:bCs w:val="0"/>
                <w:szCs w:val="21"/>
              </w:rPr>
            </w:pPr>
          </w:p>
        </w:tc>
        <w:tc>
          <w:tcPr>
            <w:tcW w:w="1134"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w:t>
            </w:r>
            <w:r>
              <w:rPr>
                <w:rFonts w:ascii="仿宋_GB2312" w:hAnsi="仿宋" w:eastAsia="仿宋_GB2312" w:cs="仿宋"/>
                <w:b w:val="0"/>
                <w:bCs w:val="0"/>
                <w:szCs w:val="21"/>
              </w:rPr>
              <w:t>1</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autoSpaceDE w:val="0"/>
              <w:autoSpaceDN w:val="0"/>
              <w:jc w:val="center"/>
              <w:rPr>
                <w:rFonts w:ascii="仿宋_GB2312" w:hAnsi="仿宋" w:eastAsia="仿宋_GB2312" w:cs="仿宋"/>
                <w:b w:val="0"/>
                <w:bCs w:val="0"/>
                <w:szCs w:val="21"/>
              </w:rPr>
            </w:pPr>
          </w:p>
        </w:tc>
        <w:tc>
          <w:tcPr>
            <w:tcW w:w="4111" w:type="dxa"/>
            <w:gridSpan w:val="2"/>
            <w:noWrap w:val="0"/>
            <w:vAlign w:val="center"/>
          </w:tcPr>
          <w:p>
            <w:pPr>
              <w:autoSpaceDE w:val="0"/>
              <w:autoSpaceDN w:val="0"/>
              <w:rPr>
                <w:rFonts w:ascii="仿宋_GB2312" w:hAnsi="仿宋" w:eastAsia="仿宋_GB2312" w:cs="仿宋"/>
                <w:b w:val="0"/>
                <w:bCs w:val="0"/>
                <w:szCs w:val="21"/>
              </w:rPr>
            </w:pPr>
            <w:r>
              <w:rPr>
                <w:rFonts w:ascii="仿宋_GB2312" w:hAnsi="仿宋" w:eastAsia="仿宋_GB2312" w:cs="仿宋"/>
                <w:b w:val="0"/>
                <w:bCs w:val="0"/>
                <w:szCs w:val="21"/>
              </w:rPr>
              <w:t>7</w:t>
            </w:r>
            <w:r>
              <w:rPr>
                <w:rFonts w:hint="eastAsia" w:ascii="仿宋_GB2312" w:hAnsi="仿宋" w:eastAsia="仿宋_GB2312" w:cs="仿宋"/>
                <w:b w:val="0"/>
                <w:bCs w:val="0"/>
                <w:szCs w:val="21"/>
              </w:rPr>
              <w:t>.国家高新技术企业户数（户）</w:t>
            </w:r>
          </w:p>
        </w:tc>
        <w:tc>
          <w:tcPr>
            <w:tcW w:w="99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4</w:t>
            </w:r>
          </w:p>
        </w:tc>
        <w:tc>
          <w:tcPr>
            <w:tcW w:w="1134"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w:t>
            </w:r>
            <w:r>
              <w:rPr>
                <w:rFonts w:ascii="仿宋_GB2312" w:hAnsi="仿宋" w:eastAsia="仿宋_GB2312" w:cs="仿宋"/>
                <w:b w:val="0"/>
                <w:bCs w:val="0"/>
                <w:szCs w:val="21"/>
              </w:rPr>
              <w:t>20</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autoSpaceDE w:val="0"/>
              <w:autoSpaceDN w:val="0"/>
              <w:jc w:val="center"/>
              <w:rPr>
                <w:rFonts w:ascii="仿宋_GB2312" w:hAnsi="仿宋" w:eastAsia="仿宋_GB2312" w:cs="仿宋"/>
                <w:b w:val="0"/>
                <w:bCs w:val="0"/>
                <w:szCs w:val="21"/>
              </w:rPr>
            </w:pPr>
          </w:p>
        </w:tc>
        <w:tc>
          <w:tcPr>
            <w:tcW w:w="4111" w:type="dxa"/>
            <w:gridSpan w:val="2"/>
            <w:noWrap w:val="0"/>
            <w:vAlign w:val="center"/>
          </w:tcPr>
          <w:p>
            <w:pPr>
              <w:autoSpaceDE w:val="0"/>
              <w:autoSpaceDN w:val="0"/>
              <w:rPr>
                <w:rFonts w:ascii="仿宋_GB2312" w:hAnsi="仿宋" w:eastAsia="仿宋_GB2312" w:cs="仿宋"/>
                <w:b w:val="0"/>
                <w:bCs w:val="0"/>
                <w:szCs w:val="21"/>
              </w:rPr>
            </w:pPr>
            <w:r>
              <w:rPr>
                <w:rFonts w:ascii="仿宋_GB2312" w:hAnsi="仿宋" w:eastAsia="仿宋_GB2312" w:cs="仿宋"/>
                <w:b w:val="0"/>
                <w:bCs w:val="0"/>
                <w:szCs w:val="21"/>
              </w:rPr>
              <w:t>8</w:t>
            </w:r>
            <w:r>
              <w:rPr>
                <w:rFonts w:hint="eastAsia" w:ascii="仿宋_GB2312" w:hAnsi="仿宋" w:eastAsia="仿宋_GB2312" w:cs="仿宋"/>
                <w:b w:val="0"/>
                <w:bCs w:val="0"/>
                <w:szCs w:val="21"/>
              </w:rPr>
              <w:t>.数字经济增加值占GDP比重（%）</w:t>
            </w:r>
          </w:p>
        </w:tc>
        <w:tc>
          <w:tcPr>
            <w:tcW w:w="992" w:type="dxa"/>
            <w:noWrap w:val="0"/>
            <w:vAlign w:val="center"/>
          </w:tcPr>
          <w:p>
            <w:pPr>
              <w:autoSpaceDE w:val="0"/>
              <w:autoSpaceDN w:val="0"/>
              <w:jc w:val="center"/>
              <w:rPr>
                <w:rFonts w:ascii="仿宋_GB2312" w:hAnsi="仿宋" w:eastAsia="仿宋_GB2312" w:cs="仿宋"/>
                <w:b w:val="0"/>
                <w:bCs w:val="0"/>
                <w:szCs w:val="21"/>
              </w:rPr>
            </w:pPr>
          </w:p>
        </w:tc>
        <w:tc>
          <w:tcPr>
            <w:tcW w:w="1134"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w:t>
            </w:r>
            <w:r>
              <w:rPr>
                <w:rFonts w:ascii="仿宋_GB2312" w:hAnsi="仿宋" w:eastAsia="仿宋_GB2312" w:cs="仿宋"/>
                <w:b w:val="0"/>
                <w:bCs w:val="0"/>
                <w:szCs w:val="21"/>
              </w:rPr>
              <w:t>5</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75" w:type="dxa"/>
            <w:vMerge w:val="restart"/>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民生福祉</w:t>
            </w:r>
          </w:p>
        </w:tc>
        <w:tc>
          <w:tcPr>
            <w:tcW w:w="3119" w:type="dxa"/>
            <w:vMerge w:val="restart"/>
            <w:noWrap w:val="0"/>
            <w:vAlign w:val="center"/>
          </w:tcPr>
          <w:p>
            <w:pPr>
              <w:autoSpaceDE w:val="0"/>
              <w:autoSpaceDN w:val="0"/>
              <w:rPr>
                <w:rFonts w:ascii="仿宋_GB2312" w:hAnsi="仿宋" w:eastAsia="仿宋_GB2312" w:cs="仿宋"/>
                <w:b w:val="0"/>
                <w:bCs w:val="0"/>
                <w:szCs w:val="21"/>
              </w:rPr>
            </w:pPr>
            <w:r>
              <w:rPr>
                <w:rFonts w:ascii="仿宋_GB2312" w:hAnsi="仿宋" w:eastAsia="仿宋_GB2312" w:cs="仿宋"/>
                <w:b w:val="0"/>
                <w:bCs w:val="0"/>
                <w:szCs w:val="21"/>
              </w:rPr>
              <w:t>9</w:t>
            </w:r>
            <w:r>
              <w:rPr>
                <w:rFonts w:hint="eastAsia" w:ascii="仿宋_GB2312" w:hAnsi="仿宋" w:eastAsia="仿宋_GB2312" w:cs="仿宋"/>
                <w:b w:val="0"/>
                <w:bCs w:val="0"/>
                <w:szCs w:val="21"/>
              </w:rPr>
              <w:t>.人均可支配收入增长率（%）</w:t>
            </w:r>
          </w:p>
        </w:tc>
        <w:tc>
          <w:tcPr>
            <w:tcW w:w="992" w:type="dxa"/>
            <w:noWrap w:val="0"/>
            <w:vAlign w:val="center"/>
          </w:tcPr>
          <w:p>
            <w:pPr>
              <w:autoSpaceDE w:val="0"/>
              <w:autoSpaceDN w:val="0"/>
              <w:rPr>
                <w:rFonts w:ascii="仿宋_GB2312" w:hAnsi="仿宋" w:eastAsia="仿宋_GB2312" w:cs="仿宋"/>
                <w:b w:val="0"/>
                <w:bCs w:val="0"/>
                <w:szCs w:val="21"/>
              </w:rPr>
            </w:pPr>
            <w:r>
              <w:rPr>
                <w:rFonts w:hint="eastAsia" w:ascii="仿宋_GB2312" w:hAnsi="仿宋" w:eastAsia="仿宋_GB2312" w:cs="仿宋"/>
                <w:b w:val="0"/>
                <w:bCs w:val="0"/>
                <w:szCs w:val="21"/>
              </w:rPr>
              <w:t>城镇</w:t>
            </w:r>
          </w:p>
        </w:tc>
        <w:tc>
          <w:tcPr>
            <w:tcW w:w="99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5*</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1134" w:type="dxa"/>
            <w:vMerge w:val="restart"/>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与同期GDP增速保持同步</w:t>
            </w:r>
          </w:p>
        </w:tc>
        <w:tc>
          <w:tcPr>
            <w:tcW w:w="872" w:type="dxa"/>
            <w:vMerge w:val="restart"/>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autoSpaceDE w:val="0"/>
              <w:autoSpaceDN w:val="0"/>
              <w:spacing w:line="600" w:lineRule="exact"/>
              <w:ind w:firstLine="420" w:firstLineChars="200"/>
              <w:jc w:val="center"/>
              <w:rPr>
                <w:rFonts w:ascii="仿宋_GB2312" w:hAnsi="仿宋" w:eastAsia="仿宋_GB2312" w:cs="仿宋"/>
                <w:b w:val="0"/>
                <w:bCs w:val="0"/>
                <w:szCs w:val="21"/>
              </w:rPr>
            </w:pPr>
          </w:p>
        </w:tc>
        <w:tc>
          <w:tcPr>
            <w:tcW w:w="3119" w:type="dxa"/>
            <w:vMerge w:val="continue"/>
            <w:noWrap w:val="0"/>
            <w:vAlign w:val="center"/>
          </w:tcPr>
          <w:p>
            <w:pPr>
              <w:autoSpaceDE w:val="0"/>
              <w:autoSpaceDN w:val="0"/>
              <w:rPr>
                <w:rFonts w:ascii="仿宋_GB2312" w:hAnsi="仿宋" w:eastAsia="仿宋_GB2312" w:cs="仿宋"/>
                <w:b w:val="0"/>
                <w:bCs w:val="0"/>
                <w:szCs w:val="21"/>
              </w:rPr>
            </w:pPr>
          </w:p>
        </w:tc>
        <w:tc>
          <w:tcPr>
            <w:tcW w:w="992" w:type="dxa"/>
            <w:noWrap w:val="0"/>
            <w:vAlign w:val="center"/>
          </w:tcPr>
          <w:p>
            <w:pPr>
              <w:autoSpaceDE w:val="0"/>
              <w:autoSpaceDN w:val="0"/>
              <w:rPr>
                <w:rFonts w:ascii="仿宋_GB2312" w:hAnsi="仿宋" w:eastAsia="仿宋_GB2312" w:cs="仿宋"/>
                <w:b w:val="0"/>
                <w:bCs w:val="0"/>
                <w:szCs w:val="21"/>
              </w:rPr>
            </w:pPr>
            <w:r>
              <w:rPr>
                <w:rFonts w:hint="eastAsia" w:ascii="仿宋_GB2312" w:hAnsi="仿宋" w:eastAsia="仿宋_GB2312" w:cs="仿宋"/>
                <w:b w:val="0"/>
                <w:bCs w:val="0"/>
                <w:szCs w:val="21"/>
              </w:rPr>
              <w:t>农村</w:t>
            </w:r>
          </w:p>
        </w:tc>
        <w:tc>
          <w:tcPr>
            <w:tcW w:w="99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7.2*</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1134" w:type="dxa"/>
            <w:vMerge w:val="continue"/>
            <w:noWrap w:val="0"/>
            <w:vAlign w:val="center"/>
          </w:tcPr>
          <w:p>
            <w:pPr>
              <w:autoSpaceDE w:val="0"/>
              <w:autoSpaceDN w:val="0"/>
              <w:jc w:val="center"/>
              <w:rPr>
                <w:rFonts w:ascii="仿宋_GB2312" w:hAnsi="仿宋" w:eastAsia="仿宋_GB2312" w:cs="仿宋"/>
                <w:b w:val="0"/>
                <w:bCs w:val="0"/>
                <w:szCs w:val="21"/>
              </w:rPr>
            </w:pPr>
          </w:p>
        </w:tc>
        <w:tc>
          <w:tcPr>
            <w:tcW w:w="872" w:type="dxa"/>
            <w:vMerge w:val="continue"/>
            <w:noWrap w:val="0"/>
            <w:vAlign w:val="center"/>
          </w:tcPr>
          <w:p>
            <w:pPr>
              <w:autoSpaceDE w:val="0"/>
              <w:autoSpaceDN w:val="0"/>
              <w:jc w:val="center"/>
              <w:rPr>
                <w:rFonts w:ascii="仿宋_GB2312" w:hAnsi="仿宋" w:eastAsia="仿宋_GB2312" w:cs="仿宋"/>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autoSpaceDE w:val="0"/>
              <w:autoSpaceDN w:val="0"/>
              <w:spacing w:line="600" w:lineRule="exact"/>
              <w:ind w:firstLine="420" w:firstLineChars="200"/>
              <w:jc w:val="center"/>
              <w:rPr>
                <w:rFonts w:ascii="仿宋_GB2312" w:hAnsi="仿宋" w:eastAsia="仿宋_GB2312" w:cs="仿宋"/>
                <w:b w:val="0"/>
                <w:bCs w:val="0"/>
                <w:szCs w:val="21"/>
              </w:rPr>
            </w:pPr>
          </w:p>
        </w:tc>
        <w:tc>
          <w:tcPr>
            <w:tcW w:w="4111" w:type="dxa"/>
            <w:gridSpan w:val="2"/>
            <w:noWrap w:val="0"/>
            <w:vAlign w:val="center"/>
          </w:tcPr>
          <w:p>
            <w:pPr>
              <w:autoSpaceDE w:val="0"/>
              <w:autoSpaceDN w:val="0"/>
              <w:rPr>
                <w:rFonts w:ascii="仿宋_GB2312" w:hAnsi="仿宋" w:eastAsia="仿宋_GB2312" w:cs="仿宋"/>
                <w:b w:val="0"/>
                <w:bCs w:val="0"/>
                <w:szCs w:val="21"/>
              </w:rPr>
            </w:pPr>
            <w:r>
              <w:rPr>
                <w:rFonts w:hint="eastAsia" w:ascii="仿宋_GB2312" w:hAnsi="仿宋" w:eastAsia="仿宋_GB2312" w:cs="仿宋"/>
                <w:b w:val="0"/>
                <w:bCs w:val="0"/>
                <w:szCs w:val="21"/>
              </w:rPr>
              <w:t>1</w:t>
            </w:r>
            <w:r>
              <w:rPr>
                <w:rFonts w:ascii="仿宋_GB2312" w:hAnsi="仿宋" w:eastAsia="仿宋_GB2312" w:cs="仿宋"/>
                <w:b w:val="0"/>
                <w:bCs w:val="0"/>
                <w:szCs w:val="21"/>
              </w:rPr>
              <w:t>0</w:t>
            </w:r>
            <w:r>
              <w:rPr>
                <w:rFonts w:hint="eastAsia" w:ascii="仿宋_GB2312" w:hAnsi="仿宋" w:eastAsia="仿宋_GB2312" w:cs="仿宋"/>
                <w:b w:val="0"/>
                <w:bCs w:val="0"/>
                <w:szCs w:val="21"/>
              </w:rPr>
              <w:t>.城镇新增就业人数（万人）</w:t>
            </w:r>
          </w:p>
        </w:tc>
        <w:tc>
          <w:tcPr>
            <w:tcW w:w="99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0.31</w:t>
            </w:r>
          </w:p>
        </w:tc>
        <w:tc>
          <w:tcPr>
            <w:tcW w:w="1134"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＞0.3</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autoSpaceDE w:val="0"/>
              <w:autoSpaceDN w:val="0"/>
              <w:spacing w:line="600" w:lineRule="exact"/>
              <w:ind w:firstLine="420" w:firstLineChars="200"/>
              <w:jc w:val="center"/>
              <w:rPr>
                <w:rFonts w:ascii="仿宋_GB2312" w:hAnsi="仿宋" w:eastAsia="仿宋_GB2312" w:cs="仿宋"/>
                <w:b w:val="0"/>
                <w:bCs w:val="0"/>
                <w:szCs w:val="21"/>
              </w:rPr>
            </w:pPr>
          </w:p>
        </w:tc>
        <w:tc>
          <w:tcPr>
            <w:tcW w:w="4111" w:type="dxa"/>
            <w:gridSpan w:val="2"/>
            <w:noWrap w:val="0"/>
            <w:vAlign w:val="center"/>
          </w:tcPr>
          <w:p>
            <w:pPr>
              <w:autoSpaceDE w:val="0"/>
              <w:autoSpaceDN w:val="0"/>
              <w:rPr>
                <w:rFonts w:ascii="仿宋_GB2312" w:hAnsi="仿宋" w:eastAsia="仿宋_GB2312" w:cs="仿宋"/>
                <w:b w:val="0"/>
                <w:bCs w:val="0"/>
                <w:szCs w:val="21"/>
              </w:rPr>
            </w:pPr>
            <w:r>
              <w:rPr>
                <w:rFonts w:hint="eastAsia" w:ascii="仿宋_GB2312" w:hAnsi="仿宋" w:eastAsia="仿宋_GB2312" w:cs="仿宋"/>
                <w:b w:val="0"/>
                <w:bCs w:val="0"/>
                <w:szCs w:val="21"/>
              </w:rPr>
              <w:t>1</w:t>
            </w:r>
            <w:r>
              <w:rPr>
                <w:rFonts w:ascii="仿宋_GB2312" w:hAnsi="仿宋" w:eastAsia="仿宋_GB2312" w:cs="仿宋"/>
                <w:b w:val="0"/>
                <w:bCs w:val="0"/>
                <w:szCs w:val="21"/>
              </w:rPr>
              <w:t>1</w:t>
            </w:r>
            <w:r>
              <w:rPr>
                <w:rFonts w:hint="eastAsia" w:ascii="仿宋_GB2312" w:hAnsi="仿宋" w:eastAsia="仿宋_GB2312" w:cs="仿宋"/>
                <w:b w:val="0"/>
                <w:bCs w:val="0"/>
                <w:szCs w:val="21"/>
              </w:rPr>
              <w:t>.每千人口拥有执业（助理）医师数</w:t>
            </w:r>
          </w:p>
        </w:tc>
        <w:tc>
          <w:tcPr>
            <w:tcW w:w="992" w:type="dxa"/>
            <w:noWrap w:val="0"/>
            <w:vAlign w:val="center"/>
          </w:tcPr>
          <w:p>
            <w:pPr>
              <w:autoSpaceDE w:val="0"/>
              <w:autoSpaceDN w:val="0"/>
              <w:jc w:val="center"/>
              <w:rPr>
                <w:rFonts w:ascii="仿宋_GB2312" w:hAnsi="仿宋" w:eastAsia="仿宋_GB2312" w:cs="仿宋"/>
                <w:b w:val="0"/>
                <w:bCs w:val="0"/>
                <w:szCs w:val="21"/>
              </w:rPr>
            </w:pPr>
            <w:r>
              <w:rPr>
                <w:rFonts w:ascii="仿宋_GB2312" w:hAnsi="仿宋" w:eastAsia="仿宋_GB2312" w:cs="仿宋"/>
                <w:b w:val="0"/>
                <w:bCs w:val="0"/>
                <w:szCs w:val="21"/>
              </w:rPr>
              <w:t>2.8</w:t>
            </w:r>
          </w:p>
        </w:tc>
        <w:tc>
          <w:tcPr>
            <w:tcW w:w="1134"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3</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autoSpaceDE w:val="0"/>
              <w:autoSpaceDN w:val="0"/>
              <w:spacing w:line="600" w:lineRule="exact"/>
              <w:ind w:firstLine="420" w:firstLineChars="200"/>
              <w:jc w:val="center"/>
              <w:rPr>
                <w:rFonts w:ascii="仿宋_GB2312" w:hAnsi="仿宋" w:eastAsia="仿宋_GB2312" w:cs="仿宋"/>
                <w:b w:val="0"/>
                <w:bCs w:val="0"/>
                <w:szCs w:val="21"/>
              </w:rPr>
            </w:pPr>
          </w:p>
        </w:tc>
        <w:tc>
          <w:tcPr>
            <w:tcW w:w="4111" w:type="dxa"/>
            <w:gridSpan w:val="2"/>
            <w:noWrap w:val="0"/>
            <w:vAlign w:val="center"/>
          </w:tcPr>
          <w:p>
            <w:pPr>
              <w:autoSpaceDE w:val="0"/>
              <w:autoSpaceDN w:val="0"/>
              <w:rPr>
                <w:rFonts w:ascii="仿宋_GB2312" w:hAnsi="仿宋" w:eastAsia="仿宋_GB2312" w:cs="仿宋"/>
                <w:b w:val="0"/>
                <w:bCs w:val="0"/>
                <w:szCs w:val="21"/>
              </w:rPr>
            </w:pPr>
            <w:r>
              <w:rPr>
                <w:rFonts w:hint="eastAsia" w:ascii="仿宋_GB2312" w:hAnsi="仿宋" w:eastAsia="仿宋_GB2312" w:cs="仿宋"/>
                <w:b w:val="0"/>
                <w:bCs w:val="0"/>
                <w:szCs w:val="21"/>
              </w:rPr>
              <w:t>1</w:t>
            </w:r>
            <w:r>
              <w:rPr>
                <w:rFonts w:ascii="仿宋_GB2312" w:hAnsi="仿宋" w:eastAsia="仿宋_GB2312" w:cs="仿宋"/>
                <w:b w:val="0"/>
                <w:bCs w:val="0"/>
                <w:szCs w:val="21"/>
              </w:rPr>
              <w:t>2</w:t>
            </w:r>
            <w:r>
              <w:rPr>
                <w:rFonts w:hint="eastAsia" w:ascii="仿宋_GB2312" w:hAnsi="仿宋" w:eastAsia="仿宋_GB2312" w:cs="仿宋"/>
                <w:b w:val="0"/>
                <w:bCs w:val="0"/>
                <w:szCs w:val="21"/>
              </w:rPr>
              <w:t>.建成区</w:t>
            </w:r>
            <w:r>
              <w:rPr>
                <w:rFonts w:ascii="仿宋_GB2312" w:hAnsi="仿宋" w:eastAsia="仿宋_GB2312" w:cs="仿宋"/>
                <w:b w:val="0"/>
                <w:bCs w:val="0"/>
                <w:szCs w:val="21"/>
              </w:rPr>
              <w:t>路网密度</w:t>
            </w:r>
            <w:r>
              <w:rPr>
                <w:rFonts w:hint="eastAsia" w:ascii="仿宋_GB2312" w:hAnsi="仿宋" w:eastAsia="仿宋_GB2312" w:cs="仿宋"/>
                <w:b w:val="0"/>
                <w:bCs w:val="0"/>
                <w:szCs w:val="21"/>
              </w:rPr>
              <w:t>（公里</w:t>
            </w:r>
            <w:r>
              <w:rPr>
                <w:rFonts w:ascii="仿宋_GB2312" w:hAnsi="仿宋" w:eastAsia="仿宋_GB2312" w:cs="仿宋"/>
                <w:b w:val="0"/>
                <w:bCs w:val="0"/>
                <w:szCs w:val="21"/>
              </w:rPr>
              <w:t>/</w:t>
            </w:r>
            <w:r>
              <w:rPr>
                <w:rFonts w:hint="eastAsia" w:ascii="仿宋_GB2312" w:hAnsi="仿宋" w:eastAsia="仿宋_GB2312" w:cs="仿宋"/>
                <w:b w:val="0"/>
                <w:bCs w:val="0"/>
                <w:szCs w:val="21"/>
              </w:rPr>
              <w:t>平方公里）</w:t>
            </w:r>
          </w:p>
        </w:tc>
        <w:tc>
          <w:tcPr>
            <w:tcW w:w="99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3.9</w:t>
            </w:r>
          </w:p>
        </w:tc>
        <w:tc>
          <w:tcPr>
            <w:tcW w:w="1134"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＞4.7</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autoSpaceDE w:val="0"/>
              <w:autoSpaceDN w:val="0"/>
              <w:spacing w:line="600" w:lineRule="exact"/>
              <w:ind w:firstLine="420" w:firstLineChars="200"/>
              <w:jc w:val="center"/>
              <w:rPr>
                <w:rFonts w:ascii="仿宋_GB2312" w:hAnsi="仿宋" w:eastAsia="仿宋_GB2312" w:cs="仿宋"/>
                <w:b w:val="0"/>
                <w:bCs w:val="0"/>
                <w:szCs w:val="21"/>
              </w:rPr>
            </w:pPr>
          </w:p>
        </w:tc>
        <w:tc>
          <w:tcPr>
            <w:tcW w:w="4111" w:type="dxa"/>
            <w:gridSpan w:val="2"/>
            <w:noWrap w:val="0"/>
            <w:vAlign w:val="center"/>
          </w:tcPr>
          <w:p>
            <w:pPr>
              <w:autoSpaceDE w:val="0"/>
              <w:autoSpaceDN w:val="0"/>
              <w:rPr>
                <w:rFonts w:ascii="仿宋_GB2312" w:hAnsi="仿宋" w:eastAsia="仿宋_GB2312" w:cs="仿宋"/>
                <w:b w:val="0"/>
                <w:bCs w:val="0"/>
                <w:szCs w:val="21"/>
              </w:rPr>
            </w:pPr>
            <w:r>
              <w:rPr>
                <w:rFonts w:hint="eastAsia" w:ascii="仿宋_GB2312" w:hAnsi="仿宋" w:eastAsia="仿宋_GB2312" w:cs="仿宋"/>
                <w:b w:val="0"/>
                <w:bCs w:val="0"/>
                <w:szCs w:val="21"/>
              </w:rPr>
              <w:t>1</w:t>
            </w:r>
            <w:r>
              <w:rPr>
                <w:rFonts w:ascii="仿宋_GB2312" w:hAnsi="仿宋" w:eastAsia="仿宋_GB2312" w:cs="仿宋"/>
                <w:b w:val="0"/>
                <w:bCs w:val="0"/>
                <w:szCs w:val="21"/>
              </w:rPr>
              <w:t>3</w:t>
            </w:r>
            <w:r>
              <w:rPr>
                <w:rFonts w:hint="eastAsia" w:ascii="仿宋_GB2312" w:hAnsi="仿宋" w:eastAsia="仿宋_GB2312" w:cs="仿宋"/>
                <w:b w:val="0"/>
                <w:bCs w:val="0"/>
                <w:szCs w:val="21"/>
              </w:rPr>
              <w:t>.建成区绿化覆盖率（%）</w:t>
            </w:r>
          </w:p>
        </w:tc>
        <w:tc>
          <w:tcPr>
            <w:tcW w:w="99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20.95</w:t>
            </w:r>
          </w:p>
        </w:tc>
        <w:tc>
          <w:tcPr>
            <w:tcW w:w="1134"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22.50</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autoSpaceDE w:val="0"/>
              <w:autoSpaceDN w:val="0"/>
              <w:spacing w:line="600" w:lineRule="exact"/>
              <w:ind w:firstLine="420" w:firstLineChars="200"/>
              <w:jc w:val="center"/>
              <w:rPr>
                <w:rFonts w:ascii="仿宋_GB2312" w:hAnsi="仿宋" w:eastAsia="仿宋_GB2312" w:cs="仿宋"/>
                <w:b w:val="0"/>
                <w:bCs w:val="0"/>
                <w:szCs w:val="21"/>
              </w:rPr>
            </w:pPr>
          </w:p>
        </w:tc>
        <w:tc>
          <w:tcPr>
            <w:tcW w:w="4111" w:type="dxa"/>
            <w:gridSpan w:val="2"/>
            <w:noWrap w:val="0"/>
            <w:vAlign w:val="center"/>
          </w:tcPr>
          <w:p>
            <w:pPr>
              <w:autoSpaceDE w:val="0"/>
              <w:autoSpaceDN w:val="0"/>
              <w:rPr>
                <w:rFonts w:ascii="仿宋_GB2312" w:hAnsi="仿宋" w:eastAsia="仿宋_GB2312" w:cs="仿宋"/>
                <w:b w:val="0"/>
                <w:bCs w:val="0"/>
                <w:szCs w:val="21"/>
              </w:rPr>
            </w:pPr>
            <w:r>
              <w:rPr>
                <w:rFonts w:hint="eastAsia" w:ascii="仿宋_GB2312" w:hAnsi="仿宋" w:eastAsia="仿宋_GB2312" w:cs="仿宋"/>
                <w:b w:val="0"/>
                <w:bCs w:val="0"/>
                <w:szCs w:val="21"/>
              </w:rPr>
              <w:t>1</w:t>
            </w:r>
            <w:r>
              <w:rPr>
                <w:rFonts w:ascii="仿宋_GB2312" w:hAnsi="仿宋" w:eastAsia="仿宋_GB2312" w:cs="仿宋"/>
                <w:b w:val="0"/>
                <w:bCs w:val="0"/>
                <w:szCs w:val="21"/>
              </w:rPr>
              <w:t>4</w:t>
            </w:r>
            <w:r>
              <w:rPr>
                <w:rFonts w:hint="eastAsia" w:ascii="仿宋_GB2312" w:hAnsi="仿宋" w:eastAsia="仿宋_GB2312" w:cs="仿宋"/>
                <w:b w:val="0"/>
                <w:bCs w:val="0"/>
                <w:szCs w:val="21"/>
              </w:rPr>
              <w:t>.基本养老保险法定人员覆盖率（%）</w:t>
            </w:r>
          </w:p>
        </w:tc>
        <w:tc>
          <w:tcPr>
            <w:tcW w:w="992" w:type="dxa"/>
            <w:noWrap w:val="0"/>
            <w:vAlign w:val="center"/>
          </w:tcPr>
          <w:p>
            <w:pPr>
              <w:autoSpaceDE w:val="0"/>
              <w:autoSpaceDN w:val="0"/>
              <w:jc w:val="center"/>
              <w:rPr>
                <w:rFonts w:ascii="仿宋_GB2312" w:hAnsi="仿宋" w:eastAsia="仿宋_GB2312" w:cs="仿宋"/>
                <w:b w:val="0"/>
                <w:bCs w:val="0"/>
                <w:szCs w:val="21"/>
              </w:rPr>
            </w:pPr>
            <w:r>
              <w:rPr>
                <w:rFonts w:ascii="仿宋_GB2312" w:hAnsi="仿宋" w:eastAsia="仿宋_GB2312" w:cs="仿宋"/>
                <w:b w:val="0"/>
                <w:bCs w:val="0"/>
                <w:szCs w:val="21"/>
              </w:rPr>
              <w:t>100</w:t>
            </w:r>
          </w:p>
        </w:tc>
        <w:tc>
          <w:tcPr>
            <w:tcW w:w="1134" w:type="dxa"/>
            <w:noWrap w:val="0"/>
            <w:vAlign w:val="center"/>
          </w:tcPr>
          <w:p>
            <w:pPr>
              <w:autoSpaceDE w:val="0"/>
              <w:autoSpaceDN w:val="0"/>
              <w:jc w:val="center"/>
              <w:rPr>
                <w:rFonts w:ascii="仿宋_GB2312" w:hAnsi="仿宋" w:eastAsia="仿宋_GB2312" w:cs="仿宋"/>
                <w:b w:val="0"/>
                <w:bCs w:val="0"/>
                <w:szCs w:val="21"/>
              </w:rPr>
            </w:pPr>
            <w:r>
              <w:rPr>
                <w:rFonts w:ascii="仿宋_GB2312" w:hAnsi="仿宋" w:eastAsia="仿宋_GB2312" w:cs="仿宋"/>
                <w:b w:val="0"/>
                <w:bCs w:val="0"/>
                <w:szCs w:val="21"/>
              </w:rPr>
              <w:t>100</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autoSpaceDE w:val="0"/>
              <w:autoSpaceDN w:val="0"/>
              <w:spacing w:line="600" w:lineRule="exact"/>
              <w:ind w:firstLine="420" w:firstLineChars="200"/>
              <w:jc w:val="center"/>
              <w:rPr>
                <w:rFonts w:ascii="仿宋_GB2312" w:hAnsi="仿宋" w:eastAsia="仿宋_GB2312" w:cs="仿宋"/>
                <w:b w:val="0"/>
                <w:bCs w:val="0"/>
                <w:szCs w:val="21"/>
              </w:rPr>
            </w:pPr>
          </w:p>
        </w:tc>
        <w:tc>
          <w:tcPr>
            <w:tcW w:w="4111" w:type="dxa"/>
            <w:gridSpan w:val="2"/>
            <w:noWrap w:val="0"/>
            <w:vAlign w:val="center"/>
          </w:tcPr>
          <w:p>
            <w:pPr>
              <w:autoSpaceDE w:val="0"/>
              <w:autoSpaceDN w:val="0"/>
              <w:rPr>
                <w:rFonts w:ascii="仿宋_GB2312" w:hAnsi="仿宋" w:eastAsia="仿宋_GB2312" w:cs="仿宋"/>
                <w:b w:val="0"/>
                <w:bCs w:val="0"/>
                <w:szCs w:val="21"/>
              </w:rPr>
            </w:pPr>
            <w:r>
              <w:rPr>
                <w:rFonts w:hint="eastAsia" w:ascii="仿宋_GB2312" w:hAnsi="仿宋" w:eastAsia="仿宋_GB2312" w:cs="仿宋"/>
                <w:b w:val="0"/>
                <w:bCs w:val="0"/>
                <w:szCs w:val="21"/>
              </w:rPr>
              <w:t>1</w:t>
            </w:r>
            <w:r>
              <w:rPr>
                <w:rFonts w:ascii="仿宋_GB2312" w:hAnsi="仿宋" w:eastAsia="仿宋_GB2312" w:cs="仿宋"/>
                <w:b w:val="0"/>
                <w:bCs w:val="0"/>
                <w:szCs w:val="21"/>
              </w:rPr>
              <w:t>5</w:t>
            </w:r>
            <w:r>
              <w:rPr>
                <w:rFonts w:hint="eastAsia" w:ascii="仿宋_GB2312" w:hAnsi="仿宋" w:eastAsia="仿宋_GB2312" w:cs="仿宋"/>
                <w:b w:val="0"/>
                <w:bCs w:val="0"/>
                <w:szCs w:val="21"/>
              </w:rPr>
              <w:t>.每千人口拥有0-3岁婴幼儿托位数（个）</w:t>
            </w:r>
          </w:p>
        </w:tc>
        <w:tc>
          <w:tcPr>
            <w:tcW w:w="99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0</w:t>
            </w:r>
          </w:p>
        </w:tc>
        <w:tc>
          <w:tcPr>
            <w:tcW w:w="1134"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＞1</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绿色转型</w:t>
            </w:r>
          </w:p>
        </w:tc>
        <w:tc>
          <w:tcPr>
            <w:tcW w:w="4111" w:type="dxa"/>
            <w:gridSpan w:val="2"/>
            <w:noWrap w:val="0"/>
            <w:vAlign w:val="center"/>
          </w:tcPr>
          <w:p>
            <w:pPr>
              <w:autoSpaceDE w:val="0"/>
              <w:autoSpaceDN w:val="0"/>
              <w:rPr>
                <w:rFonts w:ascii="仿宋_GB2312" w:hAnsi="仿宋" w:eastAsia="仿宋_GB2312" w:cs="仿宋"/>
                <w:b w:val="0"/>
                <w:bCs w:val="0"/>
                <w:szCs w:val="21"/>
              </w:rPr>
            </w:pPr>
            <w:r>
              <w:rPr>
                <w:rFonts w:ascii="仿宋_GB2312" w:hAnsi="仿宋" w:eastAsia="仿宋_GB2312" w:cs="仿宋"/>
                <w:b w:val="0"/>
                <w:bCs w:val="0"/>
                <w:szCs w:val="21"/>
              </w:rPr>
              <w:t>16</w:t>
            </w:r>
            <w:r>
              <w:rPr>
                <w:rFonts w:hint="eastAsia" w:ascii="仿宋_GB2312" w:hAnsi="仿宋" w:eastAsia="仿宋_GB2312" w:cs="仿宋"/>
                <w:b w:val="0"/>
                <w:bCs w:val="0"/>
                <w:szCs w:val="21"/>
              </w:rPr>
              <w:t>.单位GDP能源消耗降幅（%）</w:t>
            </w:r>
          </w:p>
        </w:tc>
        <w:tc>
          <w:tcPr>
            <w:tcW w:w="992" w:type="dxa"/>
            <w:noWrap w:val="0"/>
            <w:vAlign w:val="center"/>
          </w:tcPr>
          <w:p>
            <w:pPr>
              <w:autoSpaceDE w:val="0"/>
              <w:autoSpaceDN w:val="0"/>
              <w:jc w:val="center"/>
              <w:rPr>
                <w:rFonts w:ascii="仿宋_GB2312" w:hAnsi="仿宋" w:eastAsia="仿宋_GB2312" w:cs="仿宋"/>
                <w:b w:val="0"/>
                <w:bCs w:val="0"/>
                <w:szCs w:val="21"/>
              </w:rPr>
            </w:pPr>
          </w:p>
        </w:tc>
        <w:tc>
          <w:tcPr>
            <w:tcW w:w="1134"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完成省市下达指标</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autoSpaceDE w:val="0"/>
              <w:autoSpaceDN w:val="0"/>
              <w:spacing w:line="600" w:lineRule="exact"/>
              <w:ind w:firstLine="420" w:firstLineChars="200"/>
              <w:jc w:val="center"/>
              <w:rPr>
                <w:rFonts w:ascii="仿宋_GB2312" w:hAnsi="仿宋" w:eastAsia="仿宋_GB2312" w:cs="仿宋"/>
                <w:b w:val="0"/>
                <w:bCs w:val="0"/>
                <w:szCs w:val="21"/>
              </w:rPr>
            </w:pPr>
          </w:p>
        </w:tc>
        <w:tc>
          <w:tcPr>
            <w:tcW w:w="4111" w:type="dxa"/>
            <w:gridSpan w:val="2"/>
            <w:noWrap w:val="0"/>
            <w:vAlign w:val="center"/>
          </w:tcPr>
          <w:p>
            <w:pPr>
              <w:autoSpaceDE w:val="0"/>
              <w:autoSpaceDN w:val="0"/>
              <w:rPr>
                <w:rFonts w:ascii="仿宋_GB2312" w:hAnsi="仿宋" w:eastAsia="仿宋_GB2312" w:cs="仿宋"/>
                <w:b w:val="0"/>
                <w:bCs w:val="0"/>
                <w:szCs w:val="21"/>
              </w:rPr>
            </w:pPr>
            <w:r>
              <w:rPr>
                <w:rFonts w:ascii="仿宋_GB2312" w:hAnsi="仿宋" w:eastAsia="仿宋_GB2312" w:cs="仿宋"/>
                <w:b w:val="0"/>
                <w:bCs w:val="0"/>
                <w:szCs w:val="21"/>
              </w:rPr>
              <w:t>17</w:t>
            </w:r>
            <w:r>
              <w:rPr>
                <w:rFonts w:hint="eastAsia" w:ascii="仿宋_GB2312" w:hAnsi="仿宋" w:eastAsia="仿宋_GB2312" w:cs="仿宋"/>
                <w:b w:val="0"/>
                <w:bCs w:val="0"/>
                <w:szCs w:val="21"/>
              </w:rPr>
              <w:t>.单位GDP二氧化碳排放降幅（%）</w:t>
            </w:r>
          </w:p>
        </w:tc>
        <w:tc>
          <w:tcPr>
            <w:tcW w:w="992" w:type="dxa"/>
            <w:noWrap w:val="0"/>
            <w:vAlign w:val="center"/>
          </w:tcPr>
          <w:p>
            <w:pPr>
              <w:autoSpaceDE w:val="0"/>
              <w:autoSpaceDN w:val="0"/>
              <w:jc w:val="center"/>
              <w:rPr>
                <w:rFonts w:ascii="仿宋_GB2312" w:hAnsi="仿宋" w:eastAsia="仿宋_GB2312" w:cs="仿宋"/>
                <w:b w:val="0"/>
                <w:bCs w:val="0"/>
                <w:szCs w:val="21"/>
              </w:rPr>
            </w:pPr>
          </w:p>
        </w:tc>
        <w:tc>
          <w:tcPr>
            <w:tcW w:w="1134"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完成省市下达指标</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vMerge w:val="continue"/>
            <w:noWrap w:val="0"/>
            <w:vAlign w:val="center"/>
          </w:tcPr>
          <w:p>
            <w:pPr>
              <w:autoSpaceDE w:val="0"/>
              <w:autoSpaceDN w:val="0"/>
              <w:spacing w:line="600" w:lineRule="exact"/>
              <w:ind w:firstLine="420" w:firstLineChars="200"/>
              <w:jc w:val="center"/>
              <w:rPr>
                <w:rFonts w:ascii="仿宋_GB2312" w:hAnsi="仿宋" w:eastAsia="仿宋_GB2312" w:cs="仿宋"/>
                <w:b w:val="0"/>
                <w:bCs w:val="0"/>
                <w:szCs w:val="21"/>
              </w:rPr>
            </w:pPr>
          </w:p>
        </w:tc>
        <w:tc>
          <w:tcPr>
            <w:tcW w:w="4111" w:type="dxa"/>
            <w:gridSpan w:val="2"/>
            <w:noWrap w:val="0"/>
            <w:vAlign w:val="center"/>
          </w:tcPr>
          <w:p>
            <w:pPr>
              <w:autoSpaceDE w:val="0"/>
              <w:autoSpaceDN w:val="0"/>
              <w:rPr>
                <w:rFonts w:ascii="仿宋_GB2312" w:hAnsi="仿宋" w:eastAsia="仿宋_GB2312" w:cs="仿宋"/>
                <w:b w:val="0"/>
                <w:bCs w:val="0"/>
                <w:szCs w:val="21"/>
              </w:rPr>
            </w:pPr>
            <w:r>
              <w:rPr>
                <w:rFonts w:ascii="仿宋_GB2312" w:hAnsi="仿宋" w:eastAsia="仿宋_GB2312" w:cs="仿宋"/>
                <w:b w:val="0"/>
                <w:bCs w:val="0"/>
                <w:szCs w:val="21"/>
              </w:rPr>
              <w:t>18</w:t>
            </w:r>
            <w:r>
              <w:rPr>
                <w:rFonts w:hint="eastAsia" w:ascii="仿宋_GB2312" w:hAnsi="仿宋" w:eastAsia="仿宋_GB2312" w:cs="仿宋"/>
                <w:b w:val="0"/>
                <w:bCs w:val="0"/>
                <w:szCs w:val="21"/>
              </w:rPr>
              <w:t>.国考</w:t>
            </w:r>
            <w:r>
              <w:rPr>
                <w:rFonts w:ascii="仿宋_GB2312" w:hAnsi="仿宋" w:eastAsia="仿宋_GB2312" w:cs="仿宋"/>
                <w:b w:val="0"/>
                <w:bCs w:val="0"/>
                <w:szCs w:val="21"/>
              </w:rPr>
              <w:t>断面</w:t>
            </w:r>
            <w:r>
              <w:rPr>
                <w:rFonts w:hint="eastAsia" w:ascii="仿宋_GB2312" w:hAnsi="仿宋" w:eastAsia="仿宋_GB2312" w:cs="仿宋"/>
                <w:b w:val="0"/>
                <w:bCs w:val="0"/>
                <w:szCs w:val="21"/>
              </w:rPr>
              <w:t>水质</w:t>
            </w:r>
            <w:r>
              <w:rPr>
                <w:rFonts w:ascii="仿宋_GB2312" w:hAnsi="仿宋" w:eastAsia="仿宋_GB2312" w:cs="仿宋"/>
                <w:b w:val="0"/>
                <w:bCs w:val="0"/>
                <w:szCs w:val="21"/>
              </w:rPr>
              <w:t>优良比例</w:t>
            </w:r>
            <w:r>
              <w:rPr>
                <w:rFonts w:hint="eastAsia" w:ascii="仿宋_GB2312" w:hAnsi="仿宋" w:eastAsia="仿宋_GB2312" w:cs="仿宋"/>
                <w:b w:val="0"/>
                <w:bCs w:val="0"/>
                <w:szCs w:val="21"/>
              </w:rPr>
              <w:t>（%）</w:t>
            </w:r>
          </w:p>
        </w:tc>
        <w:tc>
          <w:tcPr>
            <w:tcW w:w="992" w:type="dxa"/>
            <w:noWrap w:val="0"/>
            <w:vAlign w:val="center"/>
          </w:tcPr>
          <w:p>
            <w:pPr>
              <w:autoSpaceDE w:val="0"/>
              <w:autoSpaceDN w:val="0"/>
              <w:jc w:val="center"/>
              <w:rPr>
                <w:rFonts w:ascii="仿宋_GB2312" w:hAnsi="仿宋" w:eastAsia="仿宋_GB2312" w:cs="仿宋"/>
                <w:b w:val="0"/>
                <w:bCs w:val="0"/>
                <w:szCs w:val="21"/>
              </w:rPr>
            </w:pPr>
          </w:p>
        </w:tc>
        <w:tc>
          <w:tcPr>
            <w:tcW w:w="1134"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w:t>
            </w:r>
            <w:r>
              <w:rPr>
                <w:rFonts w:ascii="仿宋_GB2312" w:hAnsi="仿宋" w:eastAsia="仿宋_GB2312" w:cs="仿宋"/>
                <w:b w:val="0"/>
                <w:bCs w:val="0"/>
                <w:szCs w:val="21"/>
              </w:rPr>
              <w:t>70</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75" w:type="dxa"/>
            <w:vMerge w:val="continue"/>
            <w:noWrap w:val="0"/>
            <w:vAlign w:val="center"/>
          </w:tcPr>
          <w:p>
            <w:pPr>
              <w:autoSpaceDE w:val="0"/>
              <w:autoSpaceDN w:val="0"/>
              <w:spacing w:line="600" w:lineRule="exact"/>
              <w:ind w:firstLine="420" w:firstLineChars="200"/>
              <w:jc w:val="center"/>
              <w:rPr>
                <w:rFonts w:ascii="仿宋_GB2312" w:hAnsi="仿宋" w:eastAsia="仿宋_GB2312" w:cs="仿宋"/>
                <w:b w:val="0"/>
                <w:bCs w:val="0"/>
                <w:szCs w:val="21"/>
              </w:rPr>
            </w:pPr>
          </w:p>
        </w:tc>
        <w:tc>
          <w:tcPr>
            <w:tcW w:w="4111" w:type="dxa"/>
            <w:gridSpan w:val="2"/>
            <w:noWrap w:val="0"/>
            <w:vAlign w:val="center"/>
          </w:tcPr>
          <w:p>
            <w:pPr>
              <w:autoSpaceDE w:val="0"/>
              <w:autoSpaceDN w:val="0"/>
              <w:rPr>
                <w:rFonts w:ascii="仿宋_GB2312" w:hAnsi="仿宋" w:eastAsia="仿宋_GB2312" w:cs="仿宋"/>
                <w:b w:val="0"/>
                <w:bCs w:val="0"/>
                <w:szCs w:val="21"/>
              </w:rPr>
            </w:pPr>
            <w:r>
              <w:rPr>
                <w:rFonts w:ascii="仿宋_GB2312" w:hAnsi="仿宋" w:eastAsia="仿宋_GB2312" w:cs="仿宋"/>
                <w:b w:val="0"/>
                <w:bCs w:val="0"/>
                <w:szCs w:val="21"/>
              </w:rPr>
              <w:t>19</w:t>
            </w:r>
            <w:r>
              <w:rPr>
                <w:rFonts w:hint="eastAsia" w:ascii="仿宋_GB2312" w:hAnsi="仿宋" w:eastAsia="仿宋_GB2312" w:cs="仿宋"/>
                <w:b w:val="0"/>
                <w:bCs w:val="0"/>
                <w:szCs w:val="21"/>
              </w:rPr>
              <w:t>.森林覆盖率（%）</w:t>
            </w:r>
          </w:p>
        </w:tc>
        <w:tc>
          <w:tcPr>
            <w:tcW w:w="99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5.1</w:t>
            </w:r>
          </w:p>
        </w:tc>
        <w:tc>
          <w:tcPr>
            <w:tcW w:w="1134"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5.6</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75" w:type="dxa"/>
            <w:vMerge w:val="continue"/>
            <w:noWrap w:val="0"/>
            <w:vAlign w:val="center"/>
          </w:tcPr>
          <w:p>
            <w:pPr>
              <w:autoSpaceDE w:val="0"/>
              <w:autoSpaceDN w:val="0"/>
              <w:spacing w:line="600" w:lineRule="exact"/>
              <w:ind w:firstLine="420" w:firstLineChars="200"/>
              <w:jc w:val="center"/>
              <w:rPr>
                <w:rFonts w:ascii="仿宋_GB2312" w:hAnsi="仿宋" w:eastAsia="仿宋_GB2312" w:cs="仿宋"/>
                <w:b w:val="0"/>
                <w:bCs w:val="0"/>
                <w:szCs w:val="21"/>
              </w:rPr>
            </w:pPr>
          </w:p>
        </w:tc>
        <w:tc>
          <w:tcPr>
            <w:tcW w:w="4111" w:type="dxa"/>
            <w:gridSpan w:val="2"/>
            <w:noWrap w:val="0"/>
            <w:vAlign w:val="center"/>
          </w:tcPr>
          <w:p>
            <w:pPr>
              <w:autoSpaceDE w:val="0"/>
              <w:autoSpaceDN w:val="0"/>
              <w:rPr>
                <w:rFonts w:ascii="仿宋_GB2312" w:hAnsi="仿宋" w:eastAsia="仿宋_GB2312" w:cs="仿宋"/>
                <w:b w:val="0"/>
                <w:bCs w:val="0"/>
                <w:szCs w:val="21"/>
              </w:rPr>
            </w:pPr>
            <w:r>
              <w:rPr>
                <w:rFonts w:ascii="仿宋_GB2312" w:hAnsi="仿宋" w:eastAsia="仿宋_GB2312" w:cs="仿宋"/>
                <w:b w:val="0"/>
                <w:bCs w:val="0"/>
                <w:szCs w:val="21"/>
              </w:rPr>
              <w:t>20</w:t>
            </w:r>
            <w:r>
              <w:rPr>
                <w:rFonts w:hint="eastAsia" w:ascii="仿宋_GB2312" w:hAnsi="仿宋" w:eastAsia="仿宋_GB2312" w:cs="仿宋"/>
                <w:b w:val="0"/>
                <w:bCs w:val="0"/>
                <w:szCs w:val="21"/>
              </w:rPr>
              <w:t>.城市空气质量优良天数比率（%）</w:t>
            </w:r>
          </w:p>
        </w:tc>
        <w:tc>
          <w:tcPr>
            <w:tcW w:w="99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79.5*</w:t>
            </w:r>
          </w:p>
        </w:tc>
        <w:tc>
          <w:tcPr>
            <w:tcW w:w="1134"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85左右</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5" w:type="dxa"/>
            <w:vMerge w:val="restart"/>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安全保障</w:t>
            </w:r>
          </w:p>
        </w:tc>
        <w:tc>
          <w:tcPr>
            <w:tcW w:w="4111" w:type="dxa"/>
            <w:gridSpan w:val="2"/>
            <w:noWrap w:val="0"/>
            <w:vAlign w:val="center"/>
          </w:tcPr>
          <w:p>
            <w:pPr>
              <w:autoSpaceDE w:val="0"/>
              <w:autoSpaceDN w:val="0"/>
              <w:rPr>
                <w:rFonts w:ascii="仿宋_GB2312" w:hAnsi="仿宋" w:eastAsia="仿宋_GB2312" w:cs="仿宋"/>
                <w:b w:val="0"/>
                <w:bCs w:val="0"/>
                <w:szCs w:val="21"/>
              </w:rPr>
            </w:pPr>
            <w:r>
              <w:rPr>
                <w:rFonts w:ascii="仿宋_GB2312" w:hAnsi="仿宋" w:eastAsia="仿宋_GB2312" w:cs="仿宋"/>
                <w:b w:val="0"/>
                <w:bCs w:val="0"/>
                <w:szCs w:val="21"/>
              </w:rPr>
              <w:t>21</w:t>
            </w:r>
            <w:r>
              <w:rPr>
                <w:rFonts w:hint="eastAsia" w:ascii="仿宋_GB2312" w:hAnsi="仿宋" w:eastAsia="仿宋_GB2312" w:cs="仿宋"/>
                <w:b w:val="0"/>
                <w:bCs w:val="0"/>
                <w:szCs w:val="21"/>
              </w:rPr>
              <w:t>.耕地保有量（万亩）</w:t>
            </w:r>
          </w:p>
        </w:tc>
        <w:tc>
          <w:tcPr>
            <w:tcW w:w="99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20</w:t>
            </w:r>
            <w:r>
              <w:rPr>
                <w:rFonts w:ascii="仿宋_GB2312" w:hAnsi="仿宋" w:eastAsia="仿宋_GB2312" w:cs="仿宋"/>
                <w:b w:val="0"/>
                <w:bCs w:val="0"/>
                <w:szCs w:val="21"/>
              </w:rPr>
              <w:t>7.44</w:t>
            </w:r>
          </w:p>
        </w:tc>
        <w:tc>
          <w:tcPr>
            <w:tcW w:w="1134"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20</w:t>
            </w:r>
            <w:r>
              <w:rPr>
                <w:rFonts w:ascii="仿宋_GB2312" w:hAnsi="仿宋" w:eastAsia="仿宋_GB2312" w:cs="仿宋"/>
                <w:b w:val="0"/>
                <w:bCs w:val="0"/>
                <w:szCs w:val="21"/>
              </w:rPr>
              <w:t>7.44</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continue"/>
            <w:noWrap w:val="0"/>
            <w:vAlign w:val="center"/>
          </w:tcPr>
          <w:p>
            <w:pPr>
              <w:autoSpaceDE w:val="0"/>
              <w:autoSpaceDN w:val="0"/>
              <w:spacing w:line="600" w:lineRule="exact"/>
              <w:ind w:firstLine="420" w:firstLineChars="200"/>
              <w:jc w:val="center"/>
              <w:rPr>
                <w:rFonts w:ascii="仿宋_GB2312" w:hAnsi="仿宋" w:eastAsia="仿宋_GB2312" w:cs="仿宋"/>
                <w:b w:val="0"/>
                <w:bCs w:val="0"/>
                <w:szCs w:val="21"/>
              </w:rPr>
            </w:pPr>
          </w:p>
        </w:tc>
        <w:tc>
          <w:tcPr>
            <w:tcW w:w="4111" w:type="dxa"/>
            <w:gridSpan w:val="2"/>
            <w:noWrap w:val="0"/>
            <w:vAlign w:val="center"/>
          </w:tcPr>
          <w:p>
            <w:pPr>
              <w:autoSpaceDE w:val="0"/>
              <w:autoSpaceDN w:val="0"/>
              <w:rPr>
                <w:rFonts w:ascii="仿宋_GB2312" w:hAnsi="仿宋" w:eastAsia="仿宋_GB2312" w:cs="仿宋"/>
                <w:b w:val="0"/>
                <w:bCs w:val="0"/>
                <w:szCs w:val="21"/>
              </w:rPr>
            </w:pPr>
            <w:r>
              <w:rPr>
                <w:rFonts w:hint="eastAsia" w:ascii="仿宋_GB2312" w:hAnsi="仿宋" w:eastAsia="仿宋_GB2312" w:cs="仿宋"/>
                <w:b w:val="0"/>
                <w:bCs w:val="0"/>
                <w:szCs w:val="21"/>
              </w:rPr>
              <w:t>2</w:t>
            </w:r>
            <w:r>
              <w:rPr>
                <w:rFonts w:ascii="仿宋_GB2312" w:hAnsi="仿宋" w:eastAsia="仿宋_GB2312" w:cs="仿宋"/>
                <w:b w:val="0"/>
                <w:bCs w:val="0"/>
                <w:szCs w:val="21"/>
              </w:rPr>
              <w:t>2</w:t>
            </w:r>
            <w:r>
              <w:rPr>
                <w:rFonts w:hint="eastAsia" w:ascii="仿宋_GB2312" w:hAnsi="仿宋" w:eastAsia="仿宋_GB2312" w:cs="仿宋"/>
                <w:b w:val="0"/>
                <w:bCs w:val="0"/>
                <w:szCs w:val="21"/>
              </w:rPr>
              <w:t>.粮食综合生产能力（亿斤）</w:t>
            </w:r>
          </w:p>
        </w:tc>
        <w:tc>
          <w:tcPr>
            <w:tcW w:w="99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18.99</w:t>
            </w:r>
          </w:p>
        </w:tc>
        <w:tc>
          <w:tcPr>
            <w:tcW w:w="1134"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w:t>
            </w:r>
            <w:r>
              <w:rPr>
                <w:rFonts w:ascii="仿宋_GB2312" w:hAnsi="仿宋" w:eastAsia="仿宋_GB2312" w:cs="仿宋"/>
                <w:b w:val="0"/>
                <w:bCs w:val="0"/>
                <w:szCs w:val="21"/>
              </w:rPr>
              <w:t>20</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noWrap w:val="0"/>
            <w:vAlign w:val="center"/>
          </w:tcPr>
          <w:p>
            <w:pPr>
              <w:autoSpaceDE w:val="0"/>
              <w:autoSpaceDN w:val="0"/>
              <w:spacing w:line="600" w:lineRule="exact"/>
              <w:ind w:firstLine="420" w:firstLineChars="200"/>
              <w:jc w:val="center"/>
              <w:rPr>
                <w:rFonts w:ascii="仿宋_GB2312" w:hAnsi="仿宋" w:eastAsia="仿宋_GB2312" w:cs="仿宋"/>
                <w:b w:val="0"/>
                <w:bCs w:val="0"/>
                <w:szCs w:val="21"/>
              </w:rPr>
            </w:pPr>
          </w:p>
        </w:tc>
        <w:tc>
          <w:tcPr>
            <w:tcW w:w="4111" w:type="dxa"/>
            <w:gridSpan w:val="2"/>
            <w:noWrap w:val="0"/>
            <w:vAlign w:val="center"/>
          </w:tcPr>
          <w:p>
            <w:pPr>
              <w:autoSpaceDE w:val="0"/>
              <w:autoSpaceDN w:val="0"/>
              <w:rPr>
                <w:rFonts w:ascii="仿宋_GB2312" w:hAnsi="仿宋" w:eastAsia="仿宋_GB2312" w:cs="仿宋"/>
                <w:b w:val="0"/>
                <w:bCs w:val="0"/>
                <w:szCs w:val="21"/>
              </w:rPr>
            </w:pPr>
            <w:r>
              <w:rPr>
                <w:rFonts w:ascii="仿宋_GB2312" w:hAnsi="仿宋" w:eastAsia="仿宋_GB2312" w:cs="仿宋"/>
                <w:b w:val="0"/>
                <w:bCs w:val="0"/>
                <w:szCs w:val="21"/>
              </w:rPr>
              <w:t>23</w:t>
            </w:r>
            <w:r>
              <w:rPr>
                <w:rFonts w:hint="eastAsia" w:ascii="仿宋_GB2312" w:hAnsi="仿宋" w:eastAsia="仿宋_GB2312" w:cs="仿宋"/>
                <w:b w:val="0"/>
                <w:bCs w:val="0"/>
                <w:szCs w:val="21"/>
              </w:rPr>
              <w:t>.</w:t>
            </w:r>
            <w:r>
              <w:rPr>
                <w:rFonts w:hint="eastAsia" w:ascii="仿宋_GB2312" w:hAnsi="仿宋" w:eastAsia="仿宋_GB2312" w:cs="仿宋"/>
                <w:b w:val="0"/>
                <w:bCs w:val="0"/>
                <w:spacing w:val="-20"/>
                <w:szCs w:val="21"/>
              </w:rPr>
              <w:t>亿元生产总值生产安全事故死亡率下降（%）</w:t>
            </w:r>
          </w:p>
        </w:tc>
        <w:tc>
          <w:tcPr>
            <w:tcW w:w="992" w:type="dxa"/>
            <w:noWrap w:val="0"/>
            <w:vAlign w:val="center"/>
          </w:tcPr>
          <w:p>
            <w:pPr>
              <w:autoSpaceDE w:val="0"/>
              <w:autoSpaceDN w:val="0"/>
              <w:jc w:val="center"/>
              <w:rPr>
                <w:rFonts w:ascii="仿宋_GB2312" w:hAnsi="仿宋" w:eastAsia="仿宋_GB2312" w:cs="仿宋"/>
                <w:b w:val="0"/>
                <w:bCs w:val="0"/>
                <w:szCs w:val="21"/>
              </w:rPr>
            </w:pPr>
          </w:p>
        </w:tc>
        <w:tc>
          <w:tcPr>
            <w:tcW w:w="1134"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w:t>
            </w:r>
            <w:r>
              <w:rPr>
                <w:rFonts w:ascii="仿宋_GB2312" w:hAnsi="仿宋" w:eastAsia="仿宋_GB2312" w:cs="仿宋"/>
                <w:b w:val="0"/>
                <w:bCs w:val="0"/>
                <w:szCs w:val="21"/>
              </w:rPr>
              <w:t>4</w:t>
            </w:r>
          </w:p>
        </w:tc>
        <w:tc>
          <w:tcPr>
            <w:tcW w:w="1134" w:type="dxa"/>
            <w:noWrap w:val="0"/>
            <w:vAlign w:val="center"/>
          </w:tcPr>
          <w:p>
            <w:pPr>
              <w:autoSpaceDE w:val="0"/>
              <w:autoSpaceDN w:val="0"/>
              <w:jc w:val="center"/>
              <w:rPr>
                <w:rFonts w:ascii="仿宋_GB2312" w:hAnsi="仿宋" w:eastAsia="仿宋_GB2312" w:cs="仿宋"/>
                <w:b w:val="0"/>
                <w:bCs w:val="0"/>
                <w:szCs w:val="21"/>
              </w:rPr>
            </w:pPr>
          </w:p>
        </w:tc>
        <w:tc>
          <w:tcPr>
            <w:tcW w:w="872" w:type="dxa"/>
            <w:noWrap w:val="0"/>
            <w:vAlign w:val="center"/>
          </w:tcPr>
          <w:p>
            <w:pPr>
              <w:autoSpaceDE w:val="0"/>
              <w:autoSpaceDN w:val="0"/>
              <w:jc w:val="center"/>
              <w:rPr>
                <w:rFonts w:ascii="仿宋_GB2312" w:hAnsi="仿宋" w:eastAsia="仿宋_GB2312" w:cs="仿宋"/>
                <w:b w:val="0"/>
                <w:bCs w:val="0"/>
                <w:szCs w:val="21"/>
              </w:rPr>
            </w:pPr>
            <w:r>
              <w:rPr>
                <w:rFonts w:hint="eastAsia" w:ascii="仿宋_GB2312" w:hAnsi="仿宋" w:eastAsia="仿宋_GB2312" w:cs="仿宋"/>
                <w:b w:val="0"/>
                <w:bCs w:val="0"/>
                <w:szCs w:val="21"/>
              </w:rPr>
              <w:t>约束性</w:t>
            </w:r>
          </w:p>
        </w:tc>
      </w:tr>
    </w:tbl>
    <w:p>
      <w:pPr>
        <w:rPr>
          <w:rFonts w:ascii="仿宋_GB2312" w:hAnsi="仿宋" w:eastAsia="仿宋_GB2312" w:cs="仿宋"/>
          <w:b w:val="0"/>
          <w:bCs w:val="0"/>
          <w:szCs w:val="21"/>
        </w:rPr>
      </w:pPr>
      <w:r>
        <w:rPr>
          <w:rFonts w:hint="eastAsia" w:ascii="仿宋_GB2312" w:hAnsi="仿宋" w:eastAsia="仿宋_GB2312" w:cs="仿宋"/>
          <w:b w:val="0"/>
          <w:bCs w:val="0"/>
          <w:szCs w:val="21"/>
        </w:rPr>
        <w:t>注：带［］为累计数据；带*为截至2019年数据；带</w:t>
      </w:r>
      <w:r>
        <w:rPr>
          <w:rFonts w:hint="eastAsia" w:ascii="MS Mincho" w:hAnsi="MS Mincho" w:eastAsia="MS Mincho" w:cs="MS Mincho"/>
          <w:b w:val="0"/>
          <w:bCs w:val="0"/>
          <w:szCs w:val="21"/>
        </w:rPr>
        <w:t>◮</w:t>
      </w:r>
      <w:r>
        <w:rPr>
          <w:rFonts w:hint="eastAsia" w:ascii="仿宋_GB2312" w:hAnsi="仿宋" w:eastAsia="仿宋_GB2312" w:cs="仿宋"/>
          <w:b w:val="0"/>
          <w:bCs w:val="0"/>
          <w:szCs w:val="21"/>
        </w:rPr>
        <w:t>为“十三五”前四年平均数</w:t>
      </w:r>
    </w:p>
    <w:p>
      <w:pPr>
        <w:keepNext w:val="0"/>
        <w:keepLines w:val="0"/>
        <w:pageBreakBefore w:val="0"/>
        <w:widowControl w:val="0"/>
        <w:kinsoku/>
        <w:wordWrap/>
        <w:overflowPunct/>
        <w:topLinePunct w:val="0"/>
        <w:bidi w:val="0"/>
        <w:adjustRightInd/>
        <w:snapToGrid/>
        <w:jc w:val="center"/>
        <w:textAlignment w:val="auto"/>
        <w:outlineLvl w:val="0"/>
        <w:rPr>
          <w:rFonts w:hint="eastAsia" w:ascii="黑体" w:hAnsi="黑体" w:eastAsia="黑体" w:cs="黑体"/>
          <w:b w:val="0"/>
          <w:bCs w:val="0"/>
          <w:sz w:val="32"/>
          <w:szCs w:val="32"/>
        </w:rPr>
      </w:pPr>
      <w:bookmarkStart w:id="14" w:name="_Toc26101"/>
      <w:r>
        <w:rPr>
          <w:rFonts w:hint="eastAsia" w:ascii="黑体" w:hAnsi="黑体" w:eastAsia="黑体" w:cs="黑体"/>
          <w:b w:val="0"/>
          <w:bCs w:val="0"/>
          <w:sz w:val="32"/>
          <w:szCs w:val="32"/>
        </w:rPr>
        <w:t>第三章 构建“2+4”的现代产业体系</w:t>
      </w:r>
      <w:r>
        <w:rPr>
          <w:rFonts w:hint="eastAsia" w:ascii="黑体" w:hAnsi="黑体" w:eastAsia="黑体" w:cs="黑体"/>
          <w:b w:val="0"/>
          <w:bCs w:val="0"/>
          <w:sz w:val="32"/>
          <w:szCs w:val="32"/>
        </w:rPr>
        <w:br w:type="textWrapping"/>
      </w:r>
      <w:r>
        <w:rPr>
          <w:rFonts w:hint="eastAsia" w:ascii="黑体" w:hAnsi="黑体" w:eastAsia="黑体" w:cs="黑体"/>
          <w:b w:val="0"/>
          <w:bCs w:val="0"/>
          <w:sz w:val="32"/>
          <w:szCs w:val="32"/>
        </w:rPr>
        <w:t>再造一个“新呼兰”</w:t>
      </w:r>
      <w:bookmarkEnd w:id="14"/>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打造“2+4”现代产业体系，将呼兰经开区作为全区经济发展的新引擎和增长极，聚焦确立绿色农产品深加工、特色文化旅游2大主导产业，培育壮大现代商贸流通、节能环保、生物、新材料等4个新兴产业，加快提升我区产业层次、质量规模、竞争优势，力争在“十四五”时期再造一个“新呼兰”。到2025年，呼兰经开区规模以上工业企业达到50+，规上工业增加值达到12.8亿元以上，年均增长5%。</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hint="eastAsia" w:ascii="黑体" w:hAnsi="黑体" w:eastAsia="黑体" w:cs="黑体"/>
          <w:b w:val="0"/>
          <w:bCs w:val="0"/>
          <w:sz w:val="32"/>
          <w:szCs w:val="32"/>
        </w:rPr>
      </w:pPr>
      <w:bookmarkStart w:id="15" w:name="_Toc8778"/>
      <w:r>
        <w:rPr>
          <w:rFonts w:hint="eastAsia" w:ascii="黑体" w:hAnsi="黑体" w:eastAsia="黑体" w:cs="黑体"/>
          <w:b w:val="0"/>
          <w:bCs w:val="0"/>
          <w:sz w:val="32"/>
          <w:szCs w:val="32"/>
        </w:rPr>
        <w:t>第一节 巩固壮大2大主导产业</w:t>
      </w:r>
      <w:bookmarkEnd w:id="15"/>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绿色农产品深加工。以高品质绿色食品为主导，优化区域布局，推进加工业向重点区域聚集发展，建设多个专业产业园区，形成优势突出、特色鲜明的“一园一业”精品化生产模式。整合农业产业链中的初级农产品供应、中间产品生产以及销售等各个环节，推进一二三产业融合。</w:t>
      </w:r>
    </w:p>
    <w:tbl>
      <w:tblPr>
        <w:tblStyle w:val="6"/>
        <w:tblW w:w="85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74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jc w:val="center"/>
              <w:rPr>
                <w:rFonts w:ascii="仿宋_GB2312" w:hAnsi="宋体" w:eastAsia="仿宋_GB2312"/>
                <w:b w:val="0"/>
                <w:bCs w:val="0"/>
                <w:sz w:val="24"/>
                <w:szCs w:val="24"/>
              </w:rPr>
            </w:pPr>
            <w:r>
              <w:rPr>
                <w:rFonts w:hint="eastAsia" w:ascii="仿宋_GB2312" w:hAnsi="宋体" w:eastAsia="仿宋_GB2312"/>
                <w:b w:val="0"/>
                <w:bCs w:val="0"/>
                <w:sz w:val="24"/>
                <w:szCs w:val="24"/>
              </w:rPr>
              <w:t>任务1 绿色农产品深加工主要任务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8" w:type="dxa"/>
            <w:noWrap w:val="0"/>
            <w:vAlign w:val="center"/>
          </w:tcPr>
          <w:p>
            <w:pPr>
              <w:jc w:val="center"/>
              <w:rPr>
                <w:rFonts w:ascii="仿宋_GB2312" w:hAnsi="宋体" w:eastAsia="仿宋_GB2312"/>
                <w:b w:val="0"/>
                <w:bCs w:val="0"/>
                <w:sz w:val="24"/>
                <w:szCs w:val="24"/>
              </w:rPr>
            </w:pPr>
            <w:r>
              <w:rPr>
                <w:rFonts w:hint="eastAsia" w:ascii="仿宋_GB2312" w:hAnsi="宋体" w:eastAsia="仿宋_GB2312"/>
                <w:b w:val="0"/>
                <w:bCs w:val="0"/>
                <w:sz w:val="24"/>
                <w:szCs w:val="24"/>
              </w:rPr>
              <w:t>任务</w:t>
            </w:r>
          </w:p>
        </w:tc>
        <w:tc>
          <w:tcPr>
            <w:tcW w:w="7404" w:type="dxa"/>
            <w:noWrap w:val="0"/>
            <w:vAlign w:val="center"/>
          </w:tcPr>
          <w:p>
            <w:pPr>
              <w:jc w:val="center"/>
              <w:rPr>
                <w:rFonts w:ascii="仿宋_GB2312" w:hAnsi="宋体" w:eastAsia="仿宋_GB2312"/>
                <w:b w:val="0"/>
                <w:bCs w:val="0"/>
                <w:sz w:val="24"/>
                <w:szCs w:val="24"/>
              </w:rPr>
            </w:pPr>
            <w:r>
              <w:rPr>
                <w:rFonts w:hint="eastAsia" w:ascii="仿宋_GB2312" w:hAnsi="宋体" w:eastAsia="仿宋_GB2312"/>
                <w:b w:val="0"/>
                <w:bCs w:val="0"/>
                <w:sz w:val="24"/>
                <w:szCs w:val="24"/>
              </w:rPr>
              <w:t>建设内容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1118" w:type="dxa"/>
            <w:noWrap w:val="0"/>
            <w:vAlign w:val="center"/>
          </w:tcPr>
          <w:p>
            <w:pPr>
              <w:jc w:val="center"/>
              <w:rPr>
                <w:rFonts w:ascii="仿宋_GB2312" w:hAnsi="宋体" w:eastAsia="仿宋_GB2312"/>
                <w:b w:val="0"/>
                <w:bCs w:val="0"/>
                <w:sz w:val="24"/>
                <w:szCs w:val="24"/>
              </w:rPr>
            </w:pPr>
            <w:r>
              <w:rPr>
                <w:rFonts w:hint="eastAsia" w:ascii="仿宋_GB2312" w:hAnsi="宋体" w:eastAsia="仿宋_GB2312"/>
                <w:b w:val="0"/>
                <w:bCs w:val="0"/>
                <w:sz w:val="24"/>
                <w:szCs w:val="24"/>
              </w:rPr>
              <w:t>蔬菜杂粮精深加工</w:t>
            </w:r>
          </w:p>
        </w:tc>
        <w:tc>
          <w:tcPr>
            <w:tcW w:w="7404" w:type="dxa"/>
            <w:noWrap w:val="0"/>
            <w:vAlign w:val="center"/>
          </w:tcPr>
          <w:p>
            <w:pPr>
              <w:jc w:val="left"/>
              <w:rPr>
                <w:rFonts w:ascii="仿宋_GB2312" w:hAnsi="宋体" w:eastAsia="仿宋_GB2312"/>
                <w:b w:val="0"/>
                <w:bCs w:val="0"/>
                <w:sz w:val="24"/>
                <w:szCs w:val="24"/>
              </w:rPr>
            </w:pPr>
            <w:r>
              <w:rPr>
                <w:rFonts w:hint="eastAsia" w:ascii="仿宋_GB2312" w:hAnsi="宋体" w:eastAsia="仿宋_GB2312"/>
                <w:b w:val="0"/>
                <w:bCs w:val="0"/>
                <w:sz w:val="24"/>
                <w:szCs w:val="24"/>
              </w:rPr>
              <w:t>以现代设施农业为手段，打造都市蔬菜和两瓜的生产、精加工、供应基地。遵循低碳、循环、可持续发展理念，通过设施装备与生物技术和信息技术的结合来有效利用耕地、节约土地资源。抓住种苗关键环节，积极培育示范蔬菜品种，确保农产品质量安全，建成依标生产、绿色环保、农产品质量可追溯的洁净蔬菜基地；充分利用现代技术手段，缩短种植周期，瞄准反季时段，向市场投放本地蔬菜，谋求利润增长空间。以原品蔬菜供给来满足都市生活的基本需求，以精加工蔬菜供给和蔬菜深加工产品供给来提升都市生活品位。鼓励全区各乡镇街道种植鲜食玉米、中草药、食用菌、杂粮等经济作物，以三产融合为切入点，推进地方特色产品、粮油精深加工、薯类加工等产业发展，打造高端化、品牌化的特色绿色有机食品产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1118" w:type="dxa"/>
            <w:noWrap w:val="0"/>
            <w:vAlign w:val="center"/>
          </w:tcPr>
          <w:p>
            <w:pPr>
              <w:jc w:val="center"/>
              <w:rPr>
                <w:rFonts w:ascii="仿宋_GB2312" w:hAnsi="宋体" w:eastAsia="仿宋_GB2312"/>
                <w:b w:val="0"/>
                <w:bCs w:val="0"/>
                <w:sz w:val="24"/>
                <w:szCs w:val="24"/>
              </w:rPr>
            </w:pPr>
            <w:r>
              <w:rPr>
                <w:rFonts w:hint="eastAsia" w:ascii="仿宋_GB2312" w:hAnsi="宋体" w:eastAsia="仿宋_GB2312"/>
                <w:b w:val="0"/>
                <w:bCs w:val="0"/>
                <w:sz w:val="24"/>
                <w:szCs w:val="24"/>
              </w:rPr>
              <w:t>大豆玉米精深加工</w:t>
            </w:r>
          </w:p>
        </w:tc>
        <w:tc>
          <w:tcPr>
            <w:tcW w:w="7404" w:type="dxa"/>
            <w:noWrap w:val="0"/>
            <w:vAlign w:val="center"/>
          </w:tcPr>
          <w:p>
            <w:pPr>
              <w:jc w:val="left"/>
              <w:rPr>
                <w:rFonts w:ascii="仿宋_GB2312" w:hAnsi="宋体" w:eastAsia="仿宋_GB2312"/>
                <w:b w:val="0"/>
                <w:bCs w:val="0"/>
                <w:sz w:val="24"/>
                <w:szCs w:val="24"/>
              </w:rPr>
            </w:pPr>
            <w:r>
              <w:rPr>
                <w:rFonts w:hint="eastAsia" w:ascii="仿宋_GB2312" w:hAnsi="宋体" w:eastAsia="仿宋_GB2312"/>
                <w:b w:val="0"/>
                <w:bCs w:val="0"/>
                <w:sz w:val="24"/>
                <w:szCs w:val="24"/>
              </w:rPr>
              <w:t>重点围绕玉米、大豆、水稻等优势作物延长产业链、提升价值链，拉长“食尾”，做大“工尾”，以大型农产品加工企业为招商目标，发挥粮食加工主导作用，实现绿色有机食品深加工企业的集聚，提高附加值。把握生物农业发展机遇，重点发展有机食品、绿色食品和功能性食品等产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9" w:hRule="atLeast"/>
        </w:trPr>
        <w:tc>
          <w:tcPr>
            <w:tcW w:w="1118" w:type="dxa"/>
            <w:noWrap w:val="0"/>
            <w:vAlign w:val="center"/>
          </w:tcPr>
          <w:p>
            <w:pPr>
              <w:jc w:val="center"/>
              <w:rPr>
                <w:rFonts w:ascii="仿宋_GB2312" w:hAnsi="宋体" w:eastAsia="仿宋_GB2312"/>
                <w:b w:val="0"/>
                <w:bCs w:val="0"/>
                <w:sz w:val="24"/>
                <w:szCs w:val="24"/>
              </w:rPr>
            </w:pPr>
            <w:r>
              <w:rPr>
                <w:rFonts w:hint="eastAsia" w:ascii="仿宋_GB2312" w:hAnsi="宋体" w:eastAsia="仿宋_GB2312"/>
                <w:b w:val="0"/>
                <w:bCs w:val="0"/>
                <w:sz w:val="24"/>
                <w:szCs w:val="24"/>
              </w:rPr>
              <w:t>畜牧产品精深加工</w:t>
            </w:r>
          </w:p>
        </w:tc>
        <w:tc>
          <w:tcPr>
            <w:tcW w:w="7404" w:type="dxa"/>
            <w:noWrap w:val="0"/>
            <w:vAlign w:val="center"/>
          </w:tcPr>
          <w:p>
            <w:pPr>
              <w:jc w:val="left"/>
              <w:rPr>
                <w:rFonts w:ascii="仿宋_GB2312" w:hAnsi="宋体" w:eastAsia="仿宋_GB2312"/>
                <w:b w:val="0"/>
                <w:bCs w:val="0"/>
                <w:sz w:val="24"/>
                <w:szCs w:val="24"/>
              </w:rPr>
            </w:pPr>
            <w:r>
              <w:rPr>
                <w:rFonts w:hint="eastAsia" w:ascii="仿宋_GB2312" w:hAnsi="宋体" w:eastAsia="仿宋_GB2312"/>
                <w:b w:val="0"/>
                <w:bCs w:val="0"/>
                <w:sz w:val="24"/>
                <w:szCs w:val="24"/>
              </w:rPr>
              <w:t>以现有畜牧业养殖和生肉精深加工企业为基础，构建牧业产、供、销链式发展的新格局，提高产业经营水平和市场竞争力。各乡镇、街道结合本区域牧业生产资源及条件，重点以肉牛和生猪为养殖对象，扶持构建大中型牧业养殖基地，为牧业深加工基地提供优质原料；在长岭、沈家、康金建设现代化农牧产品深加工基地，扶持或引进规模较大的农牧产品深加工企业，以先进技术和设备优化肉类产品结构，加强肉制品精深加工比重，加快发展分割冷鲜肉，重点发展熟食、速食肉制品、肉灌制品、餐厨用肉制品等精深加工产品，加快开发血液蛋白粉、皮、毛、骨等综合利用产品。鼓励企业通过技术创新和产品创新。加快发展冷鲜肉、熟食、速食肉制品、红肠等特色产品。积极采用国际标准，与国际市场接轨，争取更多企业产品进入国际市场。</w:t>
            </w:r>
          </w:p>
        </w:tc>
      </w:tr>
    </w:tbl>
    <w:p>
      <w:pPr>
        <w:pStyle w:val="2"/>
        <w:rPr>
          <w:rFonts w:ascii="仿宋_GB2312" w:eastAsia="仿宋_GB2312"/>
          <w:b w:val="0"/>
          <w:bCs w:val="0"/>
        </w:rPr>
      </w:pPr>
    </w:p>
    <w:p>
      <w:pPr>
        <w:rPr>
          <w:b w:val="0"/>
          <w:bCs w:val="0"/>
        </w:rPr>
      </w:pPr>
    </w:p>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1" w:type="dxa"/>
            <w:noWrap w:val="0"/>
            <w:vAlign w:val="top"/>
          </w:tcPr>
          <w:p>
            <w:pPr>
              <w:spacing w:before="240" w:after="240"/>
              <w:jc w:val="center"/>
              <w:outlineLvl w:val="5"/>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 xml:space="preserve">专栏1 绿色农产品深加工重点工程项目 </w:t>
            </w:r>
          </w:p>
          <w:p>
            <w:pPr>
              <w:adjustRightInd w:val="0"/>
              <w:snapToGrid w:val="0"/>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中央厨房加工、营养餐配送项目。</w:t>
            </w:r>
            <w:r>
              <w:rPr>
                <w:rFonts w:ascii="仿宋_GB2312" w:hAnsi="仿宋" w:eastAsia="仿宋_GB2312" w:cs="仿宋"/>
                <w:b w:val="0"/>
                <w:bCs w:val="0"/>
                <w:sz w:val="24"/>
                <w:szCs w:val="24"/>
              </w:rPr>
              <w:t>建设中央厨房工厂、研发中心、员工宿舍、牛肉深加工冷藏、大型调料储藏室、装配中心、料包中心。</w:t>
            </w:r>
          </w:p>
          <w:p>
            <w:pPr>
              <w:adjustRightInd w:val="0"/>
              <w:snapToGrid w:val="0"/>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特色农业种植及深加工项目建设项目。1000亩中药材种植及加工项目；马铃薯保鲜库及泡菜深加工项目；粘玉米种植及蔬菜冷冻加工项目；豆奶粉加工生产项目；食用菌种植及深加工项目。</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呼兰区昌泰牧业扩大生产项目。养殖规模增加至300万只大鹅，配套加工销售等产业链。</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黑龙江地平生态农业产业项目。建设屠宰场一座、肉食品加工厂、粮食深加工厂一座、冷库、冷链物流配送中心等；建设存栏20万头育肥猪养殖场、有机肥厂及饲料加工厂、存栏4万头母猪繁育基地、种植8万亩生态粮食作物、4万亩大棚果树和有机蔬菜。</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节能食品包装保温项目。</w:t>
            </w:r>
            <w:r>
              <w:rPr>
                <w:rFonts w:ascii="仿宋_GB2312" w:hAnsi="仿宋" w:eastAsia="仿宋_GB2312" w:cs="仿宋"/>
                <w:b w:val="0"/>
                <w:bCs w:val="0"/>
                <w:sz w:val="24"/>
                <w:szCs w:val="24"/>
              </w:rPr>
              <w:t>建设5200平方米保温箱板加工车间及库房</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ab/>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肉食品加工项目。</w:t>
            </w:r>
            <w:r>
              <w:rPr>
                <w:rFonts w:ascii="仿宋_GB2312" w:hAnsi="仿宋" w:eastAsia="仿宋_GB2312" w:cs="仿宋"/>
                <w:b w:val="0"/>
                <w:bCs w:val="0"/>
                <w:sz w:val="24"/>
                <w:szCs w:val="24"/>
              </w:rPr>
              <w:t>建设生产车间库房和冷库</w:t>
            </w:r>
            <w:r>
              <w:rPr>
                <w:rFonts w:hint="eastAsia" w:ascii="仿宋_GB2312" w:hAnsi="仿宋" w:eastAsia="仿宋_GB2312" w:cs="仿宋"/>
                <w:b w:val="0"/>
                <w:bCs w:val="0"/>
                <w:sz w:val="24"/>
                <w:szCs w:val="24"/>
              </w:rPr>
              <w:t>。</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微生物菌种及肥料制造项目。</w:t>
            </w:r>
            <w:r>
              <w:rPr>
                <w:rFonts w:ascii="仿宋_GB2312" w:hAnsi="仿宋" w:eastAsia="仿宋_GB2312" w:cs="仿宋"/>
                <w:b w:val="0"/>
                <w:bCs w:val="0"/>
                <w:sz w:val="24"/>
                <w:szCs w:val="24"/>
              </w:rPr>
              <w:t>占地3万平方米，建设7000平方米厂房及3000平方米库房</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有机肥生产项目。</w:t>
            </w:r>
            <w:r>
              <w:rPr>
                <w:rFonts w:ascii="仿宋_GB2312" w:hAnsi="仿宋" w:eastAsia="仿宋_GB2312" w:cs="仿宋"/>
                <w:b w:val="0"/>
                <w:bCs w:val="0"/>
                <w:sz w:val="24"/>
                <w:szCs w:val="24"/>
              </w:rPr>
              <w:t>占地1万平方米，建设2000平方米厂房及500平方米库房</w:t>
            </w:r>
            <w:r>
              <w:rPr>
                <w:rFonts w:hint="eastAsia" w:ascii="仿宋_GB2312" w:hAnsi="仿宋" w:eastAsia="仿宋_GB2312" w:cs="仿宋"/>
                <w:b w:val="0"/>
                <w:bCs w:val="0"/>
                <w:sz w:val="24"/>
                <w:szCs w:val="24"/>
              </w:rPr>
              <w:t>。</w:t>
            </w:r>
          </w:p>
        </w:tc>
      </w:tr>
    </w:tbl>
    <w:p>
      <w:pPr>
        <w:rPr>
          <w:rFonts w:ascii="仿宋_GB2312" w:eastAsia="仿宋_GB2312"/>
          <w:b w:val="0"/>
          <w:bCs w:val="0"/>
        </w:rPr>
      </w:pPr>
    </w:p>
    <w:p>
      <w:pPr>
        <w:autoSpaceDE w:val="0"/>
        <w:autoSpaceDN w:val="0"/>
        <w:spacing w:line="560" w:lineRule="exact"/>
        <w:ind w:firstLine="640" w:firstLineChars="200"/>
        <w:rPr>
          <w:rFonts w:ascii="仿宋_GB2312" w:hAnsi="仿宋" w:eastAsia="仿宋_GB2312" w:cs="仿宋"/>
          <w:b w:val="0"/>
          <w:bCs w:val="0"/>
          <w:sz w:val="32"/>
          <w:szCs w:val="32"/>
        </w:rPr>
      </w:pPr>
      <w:r>
        <w:rPr>
          <w:rFonts w:hint="eastAsia" w:ascii="楷体" w:hAnsi="楷体" w:eastAsia="楷体" w:cs="仿宋"/>
          <w:b w:val="0"/>
          <w:bCs w:val="0"/>
          <w:sz w:val="32"/>
          <w:szCs w:val="32"/>
        </w:rPr>
        <w:t>特色文化旅游产业。</w:t>
      </w:r>
      <w:r>
        <w:rPr>
          <w:rFonts w:hint="eastAsia" w:ascii="仿宋_GB2312" w:hAnsi="仿宋" w:eastAsia="仿宋_GB2312" w:cs="仿宋"/>
          <w:b w:val="0"/>
          <w:bCs w:val="0"/>
          <w:sz w:val="32"/>
          <w:szCs w:val="32"/>
        </w:rPr>
        <w:t>谋划“一带一城三路”休闲旅游产业布局，“一带”即在景观大道沿线打造滨江旅游带，推动旅游与生态深度融合；“一城”即打造历史文化名城，推动旅游与文化深度融合；“三路”即在哈肇路、呼白路、哈伊路规划建设田园综合体，推动旅游与农业深度融合。放大省级历史文化名城效应，激发文化兴城活力，重新铸造城市品牌形象。融合呼兰丰厚的历史文化资源，依托呼兰河、松花江沿岸旅游资源，以湿地旅游为切入点，逐步吸引环境生态亲近友好型的休闲产业和康养产业集聚，促成旅游产业基地、休闲产业基地、康养产业基地和职业教育培训基地协同发展。中长期实现生活性服务、生产性服务和生态性服务的“三生”并举，打造多层次、多维度服务业统筹发展的休闲旅游区。</w:t>
      </w:r>
    </w:p>
    <w:tbl>
      <w:tblPr>
        <w:tblStyle w:val="6"/>
        <w:tblW w:w="85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72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jc w:val="center"/>
              <w:rPr>
                <w:rFonts w:ascii="仿宋_GB2312" w:hAnsi="宋体" w:eastAsia="仿宋_GB2312"/>
                <w:b w:val="0"/>
                <w:bCs w:val="0"/>
                <w:sz w:val="24"/>
                <w:szCs w:val="24"/>
              </w:rPr>
            </w:pPr>
            <w:r>
              <w:rPr>
                <w:rFonts w:hint="eastAsia" w:ascii="仿宋_GB2312" w:hAnsi="宋体" w:eastAsia="仿宋_GB2312"/>
                <w:b w:val="0"/>
                <w:bCs w:val="0"/>
                <w:sz w:val="24"/>
                <w:szCs w:val="24"/>
              </w:rPr>
              <w:t>任务2 特色文化旅游主要任务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4" w:type="dxa"/>
            <w:noWrap w:val="0"/>
            <w:vAlign w:val="center"/>
          </w:tcPr>
          <w:p>
            <w:pPr>
              <w:jc w:val="center"/>
              <w:rPr>
                <w:rFonts w:ascii="仿宋_GB2312" w:hAnsi="宋体" w:eastAsia="仿宋_GB2312"/>
                <w:b w:val="0"/>
                <w:bCs w:val="0"/>
                <w:sz w:val="24"/>
                <w:szCs w:val="24"/>
              </w:rPr>
            </w:pPr>
            <w:r>
              <w:rPr>
                <w:rFonts w:hint="eastAsia" w:ascii="仿宋_GB2312" w:hAnsi="宋体" w:eastAsia="仿宋_GB2312"/>
                <w:b w:val="0"/>
                <w:bCs w:val="0"/>
                <w:sz w:val="24"/>
                <w:szCs w:val="24"/>
              </w:rPr>
              <w:t>任务</w:t>
            </w:r>
          </w:p>
        </w:tc>
        <w:tc>
          <w:tcPr>
            <w:tcW w:w="7208" w:type="dxa"/>
            <w:noWrap w:val="0"/>
            <w:vAlign w:val="center"/>
          </w:tcPr>
          <w:p>
            <w:pPr>
              <w:jc w:val="center"/>
              <w:rPr>
                <w:rFonts w:ascii="仿宋_GB2312" w:hAnsi="宋体" w:eastAsia="仿宋_GB2312"/>
                <w:b w:val="0"/>
                <w:bCs w:val="0"/>
                <w:sz w:val="24"/>
                <w:szCs w:val="24"/>
              </w:rPr>
            </w:pPr>
            <w:r>
              <w:rPr>
                <w:rFonts w:hint="eastAsia" w:ascii="仿宋_GB2312" w:hAnsi="宋体" w:eastAsia="仿宋_GB2312"/>
                <w:b w:val="0"/>
                <w:bCs w:val="0"/>
                <w:sz w:val="24"/>
                <w:szCs w:val="24"/>
              </w:rPr>
              <w:t>建设内容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4" w:type="dxa"/>
            <w:noWrap w:val="0"/>
            <w:vAlign w:val="center"/>
          </w:tcPr>
          <w:p>
            <w:pPr>
              <w:jc w:val="center"/>
              <w:rPr>
                <w:rFonts w:ascii="仿宋_GB2312" w:hAnsi="宋体" w:eastAsia="仿宋_GB2312"/>
                <w:b w:val="0"/>
                <w:bCs w:val="0"/>
                <w:sz w:val="24"/>
                <w:szCs w:val="24"/>
              </w:rPr>
            </w:pPr>
            <w:r>
              <w:rPr>
                <w:rFonts w:hint="eastAsia" w:ascii="仿宋_GB2312" w:hAnsi="宋体" w:eastAsia="仿宋_GB2312"/>
                <w:b w:val="0"/>
                <w:bCs w:val="0"/>
                <w:sz w:val="24"/>
                <w:szCs w:val="24"/>
              </w:rPr>
              <w:t>生态旅游</w:t>
            </w:r>
          </w:p>
        </w:tc>
        <w:tc>
          <w:tcPr>
            <w:tcW w:w="7208" w:type="dxa"/>
            <w:noWrap w:val="0"/>
            <w:vAlign w:val="center"/>
          </w:tcPr>
          <w:p>
            <w:pPr>
              <w:jc w:val="left"/>
              <w:rPr>
                <w:rFonts w:ascii="仿宋_GB2312" w:hAnsi="宋体" w:eastAsia="仿宋_GB2312"/>
                <w:b w:val="0"/>
                <w:bCs w:val="0"/>
                <w:sz w:val="24"/>
                <w:szCs w:val="24"/>
              </w:rPr>
            </w:pPr>
            <w:r>
              <w:rPr>
                <w:rFonts w:hint="eastAsia" w:ascii="仿宋_GB2312" w:hAnsi="宋体" w:eastAsia="仿宋_GB2312"/>
                <w:b w:val="0"/>
                <w:bCs w:val="0"/>
                <w:sz w:val="24"/>
                <w:szCs w:val="24"/>
              </w:rPr>
              <w:t>以沿江风景区逐步向外辐射，连接呼兰河口湿地、黄土山国家森林公园和呼兰河松花江沿线黄金休闲旅游带，充分利用三大景区旅游资源优势，打造特色鲜明的旅游产业基地。以旅游产业为轴心，积极融入哈尔滨市一体化发展，在哈尔滨都市圈的战略格局中成为新兴的扩展功能板块，扮演起哈尔滨都市圈中最具吸引力的旅游目的地。立足于一小时旅游经济圈，将呼兰旅游从一日游拓展到两日以上游，进而形成旅游资源的协调、互补发展格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4" w:type="dxa"/>
            <w:noWrap w:val="0"/>
            <w:vAlign w:val="center"/>
          </w:tcPr>
          <w:p>
            <w:pPr>
              <w:jc w:val="center"/>
              <w:rPr>
                <w:rFonts w:ascii="仿宋_GB2312" w:hAnsi="宋体" w:eastAsia="仿宋_GB2312"/>
                <w:b w:val="0"/>
                <w:bCs w:val="0"/>
                <w:sz w:val="24"/>
                <w:szCs w:val="24"/>
              </w:rPr>
            </w:pPr>
            <w:r>
              <w:rPr>
                <w:rFonts w:hint="eastAsia" w:ascii="仿宋_GB2312" w:hAnsi="宋体" w:eastAsia="仿宋_GB2312"/>
                <w:b w:val="0"/>
                <w:bCs w:val="0"/>
                <w:sz w:val="24"/>
                <w:szCs w:val="24"/>
              </w:rPr>
              <w:t>休闲旅游</w:t>
            </w:r>
          </w:p>
        </w:tc>
        <w:tc>
          <w:tcPr>
            <w:tcW w:w="7208" w:type="dxa"/>
            <w:noWrap w:val="0"/>
            <w:vAlign w:val="center"/>
          </w:tcPr>
          <w:p>
            <w:pPr>
              <w:jc w:val="left"/>
              <w:rPr>
                <w:rFonts w:ascii="仿宋_GB2312" w:hAnsi="宋体" w:eastAsia="仿宋_GB2312"/>
                <w:b w:val="0"/>
                <w:bCs w:val="0"/>
                <w:sz w:val="24"/>
                <w:szCs w:val="24"/>
              </w:rPr>
            </w:pPr>
            <w:r>
              <w:rPr>
                <w:rFonts w:hint="eastAsia" w:ascii="仿宋_GB2312" w:hAnsi="宋体" w:eastAsia="仿宋_GB2312"/>
                <w:b w:val="0"/>
                <w:bCs w:val="0"/>
                <w:sz w:val="24"/>
                <w:szCs w:val="24"/>
              </w:rPr>
              <w:t>围绕塑造“文化呼兰河、生态松花江”品牌，积极发展体育休闲产业，建设大型体育中心，形成竞技体育、休闲娱乐体育和商业化体育对称性互惠共生。依托松花江、呼兰河良好的水域条件，建设赛艇、划船、水上摩托车、帆板、水上碰碰船等野生状态水域体育项目。加强配套设施建设，满足各项水上体育赛事承办的运营需求，打造面向居民的健身休闲中心。串联西岗公园、萧红故居、河口湿地，深挖三光庵、清真寺、天主教堂、基督教堂、城隍庙、龙王庙、文庙、石公祠、四望亭、百年仙人掌等历史遗迹文化内涵，打造多层次的具备历史厚度的仿古建筑群、仿古文化街区、民俗馆、博物馆、文创中心，打造民间特色文化节，建设教育培训基地。对</w:t>
            </w:r>
            <w:r>
              <w:rPr>
                <w:rFonts w:ascii="仿宋_GB2312" w:hAnsi="宋体" w:eastAsia="仿宋_GB2312"/>
                <w:b w:val="0"/>
                <w:bCs w:val="0"/>
                <w:sz w:val="24"/>
                <w:szCs w:val="24"/>
              </w:rPr>
              <w:t>康金八卦</w:t>
            </w:r>
            <w:r>
              <w:rPr>
                <w:rFonts w:hint="eastAsia" w:ascii="仿宋_GB2312" w:hAnsi="宋体" w:eastAsia="仿宋_GB2312"/>
                <w:b w:val="0"/>
                <w:bCs w:val="0"/>
                <w:sz w:val="24"/>
                <w:szCs w:val="24"/>
              </w:rPr>
              <w:t>街</w:t>
            </w:r>
            <w:r>
              <w:rPr>
                <w:rFonts w:ascii="仿宋_GB2312" w:hAnsi="宋体" w:eastAsia="仿宋_GB2312"/>
                <w:b w:val="0"/>
                <w:bCs w:val="0"/>
                <w:sz w:val="24"/>
                <w:szCs w:val="24"/>
              </w:rPr>
              <w:t>周边</w:t>
            </w:r>
            <w:r>
              <w:rPr>
                <w:rFonts w:hint="eastAsia" w:ascii="仿宋_GB2312" w:hAnsi="宋体" w:eastAsia="仿宋_GB2312"/>
                <w:b w:val="0"/>
                <w:bCs w:val="0"/>
                <w:sz w:val="24"/>
                <w:szCs w:val="24"/>
              </w:rPr>
              <w:t>环境</w:t>
            </w:r>
            <w:r>
              <w:rPr>
                <w:rFonts w:ascii="仿宋_GB2312" w:hAnsi="宋体" w:eastAsia="仿宋_GB2312"/>
                <w:b w:val="0"/>
                <w:bCs w:val="0"/>
                <w:sz w:val="24"/>
                <w:szCs w:val="24"/>
              </w:rPr>
              <w:t>和道路进行整治提升。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4" w:type="dxa"/>
            <w:noWrap w:val="0"/>
            <w:vAlign w:val="center"/>
          </w:tcPr>
          <w:p>
            <w:pPr>
              <w:jc w:val="center"/>
              <w:rPr>
                <w:rFonts w:ascii="仿宋_GB2312" w:hAnsi="宋体" w:eastAsia="仿宋_GB2312"/>
                <w:b w:val="0"/>
                <w:bCs w:val="0"/>
                <w:sz w:val="24"/>
                <w:szCs w:val="24"/>
              </w:rPr>
            </w:pPr>
            <w:r>
              <w:rPr>
                <w:rFonts w:hint="eastAsia" w:ascii="仿宋_GB2312" w:hAnsi="宋体" w:eastAsia="仿宋_GB2312"/>
                <w:b w:val="0"/>
                <w:bCs w:val="0"/>
                <w:sz w:val="24"/>
                <w:szCs w:val="24"/>
              </w:rPr>
              <w:t>康养产业</w:t>
            </w:r>
          </w:p>
        </w:tc>
        <w:tc>
          <w:tcPr>
            <w:tcW w:w="7208" w:type="dxa"/>
            <w:noWrap w:val="0"/>
            <w:vAlign w:val="center"/>
          </w:tcPr>
          <w:p>
            <w:pPr>
              <w:jc w:val="left"/>
              <w:rPr>
                <w:rFonts w:ascii="仿宋_GB2312" w:hAnsi="宋体" w:eastAsia="仿宋_GB2312"/>
                <w:b w:val="0"/>
                <w:bCs w:val="0"/>
                <w:sz w:val="24"/>
                <w:szCs w:val="24"/>
              </w:rPr>
            </w:pPr>
            <w:r>
              <w:rPr>
                <w:rFonts w:hint="eastAsia" w:ascii="仿宋_GB2312" w:hAnsi="宋体" w:eastAsia="仿宋_GB2312"/>
                <w:b w:val="0"/>
                <w:bCs w:val="0"/>
                <w:sz w:val="24"/>
                <w:szCs w:val="24"/>
              </w:rPr>
              <w:t>针对全国层面的需求开展北方夏季异地养老服务，打造“候鸟式”健康休养产业；拓展发展空间，积极发展军民融合康养产业。针对哈尔滨市和周边区域居民提供双休日疗养服务，推动健康养老和旅游、医疗等产业融合发展。引进一批带动力强的养老服务业企业，培育一批养老服务社会组织，发展日常护理、康复、咨询等居家养老服务，加快发展方便可及、价格合理的养老服务和产品，努力做大产业规模，逐步满足社会多层次、多样化的养老服务需求。鼓励社会力量投资建设养老院，加大民办养老院整治力度，推进合规合法经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4" w:type="dxa"/>
            <w:noWrap w:val="0"/>
            <w:vAlign w:val="center"/>
          </w:tcPr>
          <w:p>
            <w:pPr>
              <w:jc w:val="center"/>
              <w:rPr>
                <w:rFonts w:ascii="仿宋_GB2312" w:hAnsi="宋体" w:eastAsia="仿宋_GB2312"/>
                <w:b w:val="0"/>
                <w:bCs w:val="0"/>
                <w:sz w:val="24"/>
                <w:szCs w:val="24"/>
              </w:rPr>
            </w:pPr>
            <w:r>
              <w:rPr>
                <w:rFonts w:hint="eastAsia" w:ascii="仿宋_GB2312" w:hAnsi="宋体" w:eastAsia="仿宋_GB2312"/>
                <w:b w:val="0"/>
                <w:bCs w:val="0"/>
                <w:sz w:val="24"/>
                <w:szCs w:val="24"/>
              </w:rPr>
              <w:t>生活性服务</w:t>
            </w:r>
          </w:p>
        </w:tc>
        <w:tc>
          <w:tcPr>
            <w:tcW w:w="7208" w:type="dxa"/>
            <w:noWrap w:val="0"/>
            <w:vAlign w:val="center"/>
          </w:tcPr>
          <w:p>
            <w:pPr>
              <w:jc w:val="left"/>
              <w:rPr>
                <w:rFonts w:ascii="仿宋_GB2312" w:hAnsi="宋体" w:eastAsia="仿宋_GB2312"/>
                <w:b w:val="0"/>
                <w:bCs w:val="0"/>
                <w:sz w:val="24"/>
                <w:szCs w:val="24"/>
              </w:rPr>
            </w:pPr>
            <w:r>
              <w:rPr>
                <w:rFonts w:hint="eastAsia" w:ascii="仿宋_GB2312" w:hAnsi="宋体" w:eastAsia="仿宋_GB2312"/>
                <w:b w:val="0"/>
                <w:bCs w:val="0"/>
                <w:sz w:val="24"/>
                <w:szCs w:val="24"/>
              </w:rPr>
              <w:t>将城区打造成呼兰区的商业、生活、文化和教育中心。重点做到“五个构建”：构建集商贸服务、文化体验、娱乐休闲、创业孵化等功能于一体中心商圈，提高城区产业层次和整体品质；构建精品街道和高品质生活社区，对居住环境进行改善；构建完整的基础教育体系和卫生医疗场馆，按照标准化建设水平，进一步扩建和改进中小学校；推进医疗基础设施建设，完善卫生服务体系，更好地满足人民群众的卫生、医疗需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4" w:type="dxa"/>
            <w:noWrap w:val="0"/>
            <w:vAlign w:val="center"/>
          </w:tcPr>
          <w:p>
            <w:pPr>
              <w:jc w:val="center"/>
              <w:rPr>
                <w:rFonts w:ascii="仿宋_GB2312" w:hAnsi="宋体" w:eastAsia="仿宋_GB2312"/>
                <w:b w:val="0"/>
                <w:bCs w:val="0"/>
                <w:sz w:val="24"/>
                <w:szCs w:val="24"/>
              </w:rPr>
            </w:pPr>
            <w:r>
              <w:rPr>
                <w:rFonts w:hint="eastAsia" w:ascii="仿宋_GB2312" w:hAnsi="宋体" w:eastAsia="仿宋_GB2312"/>
                <w:b w:val="0"/>
                <w:bCs w:val="0"/>
                <w:sz w:val="24"/>
                <w:szCs w:val="24"/>
              </w:rPr>
              <w:t>文学创作服务</w:t>
            </w:r>
          </w:p>
        </w:tc>
        <w:tc>
          <w:tcPr>
            <w:tcW w:w="7208" w:type="dxa"/>
            <w:noWrap w:val="0"/>
            <w:vAlign w:val="center"/>
          </w:tcPr>
          <w:p>
            <w:pPr>
              <w:jc w:val="left"/>
              <w:rPr>
                <w:rFonts w:ascii="仿宋_GB2312" w:hAnsi="宋体" w:eastAsia="仿宋_GB2312"/>
                <w:b w:val="0"/>
                <w:bCs w:val="0"/>
                <w:sz w:val="24"/>
                <w:szCs w:val="24"/>
              </w:rPr>
            </w:pPr>
            <w:r>
              <w:rPr>
                <w:rFonts w:hint="eastAsia" w:ascii="仿宋_GB2312" w:hAnsi="宋体" w:eastAsia="仿宋_GB2312"/>
                <w:b w:val="0"/>
                <w:bCs w:val="0"/>
                <w:sz w:val="24"/>
                <w:szCs w:val="24"/>
              </w:rPr>
              <w:t>立足萧红文化影响，打造“北方文学”概念体系。深入挖掘“北方文学”文化内涵，以此为核心整合呼兰区现有历史文化资源。聘请专家名人，创作小说、传记、影视等标志性、纪念性作品，形成具有地区文化特色的集创作、出版、宣传、销售为一体的文学创作服务中心。面向周边地区学校、企业、机构开展北方文学交流活动，扩散北方文学的独特魅力，彰显呼兰的历史文化名城形象</w:t>
            </w:r>
          </w:p>
        </w:tc>
      </w:tr>
    </w:tbl>
    <w:p>
      <w:pPr>
        <w:pStyle w:val="2"/>
        <w:rPr>
          <w:rFonts w:ascii="仿宋_GB2312" w:eastAsia="仿宋_GB2312"/>
          <w:b w:val="0"/>
          <w:bCs w:val="0"/>
        </w:rPr>
      </w:pP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noWrap w:val="0"/>
            <w:vAlign w:val="top"/>
          </w:tcPr>
          <w:p>
            <w:pPr>
              <w:spacing w:before="240" w:after="240"/>
              <w:jc w:val="center"/>
              <w:outlineLvl w:val="5"/>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 xml:space="preserve">专栏2 特色文化旅游产业重点工程项目 </w:t>
            </w:r>
          </w:p>
          <w:p>
            <w:pPr>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文旅、康养、培训服务综合体项目。建设集文化旅游、康复疗养、技能培训、休闲娱乐为一体的综合服务体，构建四个中心：文化旅游服务中心、医养结合服务中心、培训服务中心、休闲娱乐服务中心。</w:t>
            </w:r>
          </w:p>
          <w:p>
            <w:pPr>
              <w:rPr>
                <w:rFonts w:ascii="仿宋_GB2312" w:hAnsi="仿宋" w:eastAsia="仿宋_GB2312" w:cs="仿宋"/>
                <w:b w:val="0"/>
                <w:bCs w:val="0"/>
                <w:sz w:val="24"/>
                <w:szCs w:val="24"/>
              </w:rPr>
            </w:pPr>
            <w:r>
              <w:rPr>
                <w:rFonts w:ascii="仿宋_GB2312" w:hAnsi="仿宋" w:eastAsia="仿宋_GB2312" w:cs="仿宋"/>
                <w:b w:val="0"/>
                <w:bCs w:val="0"/>
                <w:sz w:val="24"/>
                <w:szCs w:val="24"/>
              </w:rPr>
              <w:t>康养文化旅游城。在呼兰区腰堡街道24公里滨江景观大道处发展各具特色的文旅产业项目，形成呼兰区特色文化旅游产业的典型代表。在沿江30米生态红线之外，拟计划申请1.2万亩建设用地，沿景观大道一江一河做重点项目。2035年的中长期目标与双井街道等形成连片地区重点项目。前期工程项目以帆船为代表的文旅产业作为启动；建立特色文旅康养中心</w:t>
            </w:r>
            <w:r>
              <w:rPr>
                <w:rFonts w:hint="eastAsia" w:ascii="仿宋_GB2312" w:hAnsi="仿宋" w:eastAsia="仿宋_GB2312" w:cs="仿宋"/>
                <w:b w:val="0"/>
                <w:bCs w:val="0"/>
                <w:sz w:val="24"/>
                <w:szCs w:val="24"/>
              </w:rPr>
              <w:t>和</w:t>
            </w:r>
            <w:r>
              <w:rPr>
                <w:rFonts w:ascii="仿宋_GB2312" w:hAnsi="仿宋" w:eastAsia="仿宋_GB2312" w:cs="仿宋"/>
                <w:b w:val="0"/>
                <w:bCs w:val="0"/>
                <w:sz w:val="24"/>
                <w:szCs w:val="24"/>
              </w:rPr>
              <w:t>哈尔滨最具代表性的集文化旅游、康复疗养、技能培训、休闲娱乐为一体的呼兰康养文化旅游城综合服务体。</w:t>
            </w:r>
          </w:p>
          <w:p>
            <w:pPr>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萧红故居文体活动中心项目。以萧红故居为中心进行周边建筑风格的整体化改造，建立萧红故居文体活动中心，打造成为呼兰区甚至是哈尔滨市的代表性、标志性文化设施建设。加入图书馆、纪念品等与作家萧红相关的周边产品，以及形成独具东北特色风味的美食长街，打造北方特色旅游小镇。</w:t>
            </w:r>
          </w:p>
          <w:p>
            <w:pPr>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呼兰历史展馆项目。依托萧红故居文体活动中心项目，计划在</w:t>
            </w:r>
            <w:r>
              <w:rPr>
                <w:rFonts w:ascii="仿宋_GB2312" w:hAnsi="仿宋" w:eastAsia="仿宋_GB2312" w:cs="仿宋"/>
                <w:b w:val="0"/>
                <w:bCs w:val="0"/>
                <w:sz w:val="24"/>
                <w:szCs w:val="24"/>
              </w:rPr>
              <w:t>2035年中长期内建立呼兰历史展馆。确定展馆主题定位：宣传呼兰区历史文化，宣传呼兰区作为冰雪旅游度假胜地、生态康养旅游目的地、自驾和户外运动旅游目的地形象，以及东北抗联精神和北大荒精神等新时代东北精神内涵。</w:t>
            </w:r>
          </w:p>
          <w:p>
            <w:pPr>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亚龙湾景区、东北特色民俗文化村</w:t>
            </w:r>
            <w:r>
              <w:rPr>
                <w:rFonts w:ascii="仿宋_GB2312" w:hAnsi="仿宋" w:eastAsia="仿宋_GB2312" w:cs="仿宋"/>
                <w:b w:val="0"/>
                <w:bCs w:val="0"/>
                <w:sz w:val="24"/>
                <w:szCs w:val="24"/>
              </w:rPr>
              <w:t>项目</w:t>
            </w:r>
            <w:r>
              <w:rPr>
                <w:rFonts w:hint="eastAsia" w:ascii="仿宋_GB2312" w:hAnsi="仿宋" w:eastAsia="仿宋_GB2312" w:cs="仿宋"/>
                <w:b w:val="0"/>
                <w:bCs w:val="0"/>
                <w:sz w:val="24"/>
                <w:szCs w:val="24"/>
              </w:rPr>
              <w:t>、印象文旅小镇项目。</w:t>
            </w:r>
            <w:r>
              <w:rPr>
                <w:b w:val="0"/>
                <w:bCs w:val="0"/>
              </w:rPr>
              <w:tab/>
            </w:r>
            <w:r>
              <w:rPr>
                <w:b w:val="0"/>
                <w:bCs w:val="0"/>
              </w:rPr>
              <w:tab/>
            </w:r>
          </w:p>
        </w:tc>
      </w:tr>
    </w:tbl>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16" w:name="_Toc14675"/>
      <w:r>
        <w:rPr>
          <w:rFonts w:hint="eastAsia" w:ascii="黑体" w:hAnsi="黑体" w:eastAsia="黑体" w:cs="仿宋"/>
          <w:b w:val="0"/>
          <w:bCs w:val="0"/>
          <w:sz w:val="32"/>
          <w:szCs w:val="32"/>
        </w:rPr>
        <w:t>第二节 培育提升4大战略性新兴产业</w:t>
      </w:r>
      <w:bookmarkEnd w:id="16"/>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现代商贸流通。</w:t>
      </w:r>
      <w:r>
        <w:rPr>
          <w:rFonts w:hint="eastAsia" w:ascii="仿宋_GB2312" w:hAnsi="仿宋" w:eastAsia="仿宋_GB2312" w:cs="仿宋"/>
          <w:b w:val="0"/>
          <w:bCs w:val="0"/>
          <w:sz w:val="32"/>
          <w:szCs w:val="32"/>
        </w:rPr>
        <w:t>打造产品销售、配送、仓储、电子商务、结算于一体的多功能服务平台，实现业态创新、功能扩充、管理升级，建设成为辐射东北亚的集散平台。完善哈—同和哈—牡—绥东部物流通道、哈尔滨—大连南部物流通道、哈—满西部物流通道以及哈—黑北部物流通道。融合商品批发、交易、采购、展示、定制、加工、信息总汇、仓储、配送等主要物流服务功能，依靠“互联网+”运营思维，借助电子商务形式，形成现代物流产业园区。以专业市场和现代物流产业为核心, 结合产业的发展需求和物流资源，形成哈尔滨北部地区的物流产业带，提供商品展示交易、公铁货运枢纽、区域内配送、面向各优势产业的加工及多元化配套仓储、国际贸易以及公共信息平台等服务。打造功能完备的区级电子商务平台，加强电商企业扶持力度，鼓励配套发展电子商务平台设计、营销策划、代运营、信用认证、电子结算等相关产业。鼓励绿色农产品加工企业利用电子商务平台优化采购、分销体系，深化面向个性化、定制化消费需求。加快建立旅游资源数据库和电子商务平台。充分利用好网络平台和新媒体视频平台，全面拓展线上线下销售渠道。</w:t>
      </w:r>
    </w:p>
    <w:p>
      <w:pPr>
        <w:pStyle w:val="2"/>
        <w:rPr>
          <w:rFonts w:hint="eastAsia"/>
          <w:b w:val="0"/>
          <w:bCs w:val="0"/>
        </w:rPr>
      </w:pPr>
    </w:p>
    <w:tbl>
      <w:tblPr>
        <w:tblStyle w:val="6"/>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8" w:type="dxa"/>
            <w:noWrap w:val="0"/>
            <w:vAlign w:val="top"/>
          </w:tcPr>
          <w:p>
            <w:pPr>
              <w:spacing w:before="240" w:after="240"/>
              <w:jc w:val="center"/>
              <w:outlineLvl w:val="5"/>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 xml:space="preserve">专栏3 商贸物流重点工程项目 </w:t>
            </w:r>
          </w:p>
          <w:p>
            <w:pPr>
              <w:pStyle w:val="2"/>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粮食仓储物流中心。建设粮食仓储及公路铁路物流为一体的大型物流服务中心。计划占地面积90000平方米。</w:t>
            </w:r>
          </w:p>
        </w:tc>
      </w:tr>
    </w:tbl>
    <w:p>
      <w:pPr>
        <w:autoSpaceDE w:val="0"/>
        <w:autoSpaceDN w:val="0"/>
        <w:spacing w:line="560" w:lineRule="exact"/>
        <w:ind w:firstLine="640" w:firstLineChars="200"/>
        <w:rPr>
          <w:rFonts w:ascii="仿宋_GB2312" w:hAnsi="仿宋" w:eastAsia="仿宋_GB2312" w:cs="仿宋"/>
          <w:b w:val="0"/>
          <w:bCs w:val="0"/>
          <w:sz w:val="32"/>
          <w:szCs w:val="32"/>
        </w:rPr>
      </w:pPr>
      <w:r>
        <w:rPr>
          <w:rFonts w:hint="eastAsia" w:ascii="楷体" w:hAnsi="楷体" w:eastAsia="楷体" w:cs="仿宋"/>
          <w:b w:val="0"/>
          <w:bCs w:val="0"/>
          <w:sz w:val="32"/>
          <w:szCs w:val="32"/>
        </w:rPr>
        <w:t>节能环保。</w:t>
      </w:r>
      <w:r>
        <w:rPr>
          <w:rFonts w:hint="eastAsia" w:ascii="仿宋_GB2312" w:hAnsi="仿宋" w:eastAsia="仿宋_GB2312" w:cs="仿宋"/>
          <w:b w:val="0"/>
          <w:bCs w:val="0"/>
          <w:sz w:val="32"/>
          <w:szCs w:val="32"/>
        </w:rPr>
        <w:t>发展高端化节能环保装备（产品）制造和专业化、特色化节能环保服务，重点针对高效节能、先进环保、资源循环利用三个领域展开多元化的节能环保产业建设。利用哈三电厂热、气、水主要资源，引进节能环保领域相关企业，建设循环经济产业，发展绿色生态产业体系和清洁低碳、安全高效的现代能源体系。充分利用区域内秸秆资源优势，建设化工园区。大力开发保温系数高、取暖热耗和取暖成本低的秸秆墙体材料。强化节能、环保、减排等指标的约束效力，落实能源消费总量管理和污染物排放总量控制制度，推动循环经济产业体系建设不断发展。</w:t>
      </w:r>
    </w:p>
    <w:tbl>
      <w:tblPr>
        <w:tblStyle w:val="6"/>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5" w:type="dxa"/>
            <w:noWrap w:val="0"/>
            <w:vAlign w:val="top"/>
          </w:tcPr>
          <w:p>
            <w:pPr>
              <w:spacing w:before="240" w:after="240"/>
              <w:jc w:val="center"/>
              <w:outlineLvl w:val="5"/>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 xml:space="preserve">专栏4 节能环保产业重点工程项目 </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农林生物质热电联产项目。建设2台1.5MW、1台1MW热电联产机组，配套秸秆预处理池、厌氧发酵罐、储气柜。</w:t>
            </w:r>
          </w:p>
          <w:p>
            <w:pPr>
              <w:pStyle w:val="2"/>
              <w:spacing w:after="0"/>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呼兰区协合分散式风电项目。建设5座10千伏开关站、9台风电机组，其中2000千瓦风电机组4台、2500千瓦风电机组4台、3000千瓦风电机组1台，总规模21兆瓦（MW，21000千瓦）。</w:t>
            </w:r>
          </w:p>
          <w:p>
            <w:pPr>
              <w:jc w:val="left"/>
              <w:outlineLvl w:val="5"/>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呼兰区民主风力发电项目。</w:t>
            </w:r>
          </w:p>
        </w:tc>
      </w:tr>
    </w:tbl>
    <w:p>
      <w:pPr>
        <w:autoSpaceDE w:val="0"/>
        <w:autoSpaceDN w:val="0"/>
        <w:spacing w:line="560" w:lineRule="exact"/>
        <w:ind w:firstLine="640" w:firstLineChars="200"/>
        <w:rPr>
          <w:rFonts w:ascii="仿宋_GB2312" w:hAnsi="仿宋" w:eastAsia="仿宋_GB2312" w:cs="仿宋"/>
          <w:b w:val="0"/>
          <w:bCs w:val="0"/>
          <w:sz w:val="32"/>
          <w:szCs w:val="32"/>
        </w:rPr>
      </w:pPr>
      <w:r>
        <w:rPr>
          <w:rFonts w:hint="eastAsia" w:ascii="楷体" w:hAnsi="楷体" w:eastAsia="楷体" w:cs="仿宋"/>
          <w:b w:val="0"/>
          <w:bCs w:val="0"/>
          <w:sz w:val="32"/>
          <w:szCs w:val="32"/>
        </w:rPr>
        <w:t>新材料。</w:t>
      </w:r>
      <w:r>
        <w:rPr>
          <w:rFonts w:hint="eastAsia" w:ascii="仿宋_GB2312" w:hAnsi="仿宋" w:eastAsia="仿宋_GB2312" w:cs="仿宋"/>
          <w:b w:val="0"/>
          <w:bCs w:val="0"/>
          <w:sz w:val="32"/>
          <w:szCs w:val="32"/>
        </w:rPr>
        <w:t>合理确定新材料产业发展的产业导向和空间布局，坚持引进和培育并举，大力发展高端高新产业，形成特色产业体系。围绕航空航天、新能源、新一代信息技术等国家优先支持的重点领域和重大发展专项，重点发展石墨及石墨烯、高性能金属材料、高性能纤维及复合材料、半导体等新材料。</w:t>
      </w:r>
    </w:p>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1" w:type="dxa"/>
            <w:noWrap w:val="0"/>
            <w:vAlign w:val="top"/>
          </w:tcPr>
          <w:p>
            <w:pPr>
              <w:spacing w:before="240" w:after="240"/>
              <w:jc w:val="center"/>
              <w:outlineLvl w:val="5"/>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 xml:space="preserve">专栏5 新材料产业重点工程项目 </w:t>
            </w:r>
          </w:p>
          <w:p>
            <w:pPr>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呼兰区无人机产业园项目。分别建设智能仓储无人机物流基地、航空机电设备维修及飞行培训中心、航空智能装备制造基地，高端智能无人机研发制造基地等。</w:t>
            </w:r>
          </w:p>
          <w:p>
            <w:pPr>
              <w:pStyle w:val="2"/>
              <w:spacing w:after="0"/>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黑龙江呼兰石墨烯科创城项目。设立石墨烯研究院，发起设立新时代东北振兴高科技产业论坛；以石墨烯产业集聚发展推动建设国家级产城融合示范区和产业转型升级示范区；建立石墨烯产业孵化器、石墨烯产业加速器、石墨烯产业转化基地；推动建设石墨烯产业技术转移交易；投资建立石墨烯生产基地。</w:t>
            </w:r>
          </w:p>
          <w:p>
            <w:pPr>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石墨烯锅炉装配厂项目。建设工厂生产石墨烯电加热锅炉；组建能源管理公司，针对石墨烯电加热锅炉产品面向全国采暖客户出售热能；以及进行石墨烯新材料的生产与研发。</w:t>
            </w:r>
          </w:p>
          <w:p>
            <w:pPr>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康金防火保温材料项目。</w:t>
            </w:r>
          </w:p>
          <w:p>
            <w:pPr>
              <w:rPr>
                <w:b w:val="0"/>
                <w:bCs w:val="0"/>
              </w:rPr>
            </w:pPr>
            <w:r>
              <w:rPr>
                <w:rFonts w:hint="eastAsia" w:ascii="仿宋_GB2312" w:hAnsi="仿宋" w:eastAsia="仿宋_GB2312" w:cs="仿宋"/>
                <w:b w:val="0"/>
                <w:bCs w:val="0"/>
                <w:sz w:val="24"/>
                <w:szCs w:val="24"/>
              </w:rPr>
              <w:t>金种防火保温材料项目。</w:t>
            </w:r>
            <w:r>
              <w:rPr>
                <w:b w:val="0"/>
                <w:bCs w:val="0"/>
              </w:rPr>
              <w:tab/>
            </w:r>
            <w:r>
              <w:rPr>
                <w:b w:val="0"/>
                <w:bCs w:val="0"/>
              </w:rPr>
              <w:tab/>
            </w:r>
            <w:r>
              <w:rPr>
                <w:b w:val="0"/>
                <w:bCs w:val="0"/>
              </w:rPr>
              <w:tab/>
            </w:r>
          </w:p>
        </w:tc>
      </w:tr>
    </w:tbl>
    <w:p>
      <w:pPr>
        <w:autoSpaceDE w:val="0"/>
        <w:autoSpaceDN w:val="0"/>
        <w:spacing w:line="560" w:lineRule="exact"/>
        <w:ind w:firstLine="640" w:firstLineChars="200"/>
        <w:rPr>
          <w:rFonts w:ascii="仿宋_GB2312" w:hAnsi="仿宋" w:eastAsia="仿宋_GB2312" w:cs="仿宋"/>
          <w:b w:val="0"/>
          <w:bCs w:val="0"/>
          <w:sz w:val="32"/>
          <w:szCs w:val="32"/>
        </w:rPr>
      </w:pPr>
      <w:r>
        <w:rPr>
          <w:rFonts w:hint="eastAsia" w:ascii="楷体" w:hAnsi="楷体" w:eastAsia="楷体" w:cs="仿宋"/>
          <w:b w:val="0"/>
          <w:bCs w:val="0"/>
          <w:sz w:val="32"/>
          <w:szCs w:val="32"/>
        </w:rPr>
        <w:t>生物产业。</w:t>
      </w:r>
      <w:r>
        <w:rPr>
          <w:rFonts w:hint="eastAsia" w:ascii="仿宋_GB2312" w:hAnsi="仿宋" w:eastAsia="仿宋_GB2312" w:cs="仿宋"/>
          <w:b w:val="0"/>
          <w:bCs w:val="0"/>
          <w:sz w:val="32"/>
          <w:szCs w:val="32"/>
        </w:rPr>
        <w:t>重点发展生物能源、生物农业、生物医药、生物环保和生物制造产业，推动形成专业性生物产业集群。采取孵化、加速、供地的“三级跳”模式，为处在不同产业发展阶段的生物企业提供发展空间。</w:t>
      </w:r>
    </w:p>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1" w:type="dxa"/>
            <w:noWrap w:val="0"/>
            <w:vAlign w:val="top"/>
          </w:tcPr>
          <w:p>
            <w:pPr>
              <w:spacing w:before="240" w:after="240"/>
              <w:jc w:val="center"/>
              <w:outlineLvl w:val="5"/>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专栏</w:t>
            </w:r>
            <w:r>
              <w:rPr>
                <w:rFonts w:ascii="仿宋_GB2312" w:hAnsi="仿宋" w:eastAsia="仿宋_GB2312" w:cs="仿宋"/>
                <w:b w:val="0"/>
                <w:bCs w:val="0"/>
                <w:sz w:val="24"/>
                <w:szCs w:val="24"/>
              </w:rPr>
              <w:t>6</w:t>
            </w:r>
            <w:r>
              <w:rPr>
                <w:rFonts w:hint="eastAsia" w:ascii="仿宋_GB2312" w:hAnsi="仿宋" w:eastAsia="仿宋_GB2312" w:cs="仿宋"/>
                <w:b w:val="0"/>
                <w:bCs w:val="0"/>
                <w:sz w:val="24"/>
                <w:szCs w:val="24"/>
              </w:rPr>
              <w:t xml:space="preserve"> 生物产业工程项目</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年产2000吨血球蛋白粉血浆蛋白粉项目。占项目规划用地21523平方米，总建筑面积8000平方米，建设办公楼、生产车间、原料储存库房、成品库房、污水处理厂等。年产血浆蛋白粉800吨、血球蛋白粉1200吨。</w:t>
            </w:r>
          </w:p>
        </w:tc>
      </w:tr>
    </w:tbl>
    <w:p>
      <w:pPr>
        <w:rPr>
          <w:b w:val="0"/>
          <w:bCs w:val="0"/>
        </w:rPr>
      </w:pP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17" w:name="_Toc971"/>
      <w:r>
        <w:rPr>
          <w:rFonts w:hint="eastAsia" w:ascii="黑体" w:hAnsi="黑体" w:eastAsia="黑体" w:cs="仿宋"/>
          <w:b w:val="0"/>
          <w:bCs w:val="0"/>
          <w:sz w:val="32"/>
          <w:szCs w:val="32"/>
        </w:rPr>
        <w:t>第三节 培育产业集聚平台</w:t>
      </w:r>
      <w:bookmarkEnd w:id="17"/>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sz w:val="32"/>
          <w:szCs w:val="32"/>
        </w:rPr>
      </w:pPr>
      <w:r>
        <w:rPr>
          <w:rFonts w:hint="eastAsia" w:ascii="仿宋_GB2312" w:hAnsi="仿宋_GB2312" w:eastAsia="仿宋_GB2312" w:cs="仿宋_GB2312"/>
          <w:b w:val="0"/>
          <w:bCs w:val="0"/>
          <w:sz w:val="32"/>
          <w:szCs w:val="32"/>
        </w:rPr>
        <w:t>依托平台建设促进产业集聚发展。围绕产业集聚，完善以呼兰经开区为主体，长岭工业园区和亚麻厂片区为两翼的“一主两翼”产业园区布局，搭建和培育产业集聚平台。</w:t>
      </w:r>
      <w:r>
        <w:rPr>
          <w:rFonts w:hint="eastAsia" w:ascii="仿宋_GB2312" w:hAnsi="仿宋" w:eastAsia="仿宋_GB2312" w:cs="仿宋"/>
          <w:b w:val="0"/>
          <w:bCs w:val="0"/>
          <w:sz w:val="32"/>
          <w:szCs w:val="32"/>
        </w:rPr>
        <w:t>加强存量土地二次开发，依法处置“僵尸企业”和“僵尸项目”。扶持传统企业转型发展，落实区级领导包保重点企业制度。发挥龙头企业引领作用，加速区域内要素配置、技术服务、产业协同一体化发展，促进产业集聚。</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b w:val="0"/>
          <w:bCs w:val="0"/>
          <w:sz w:val="32"/>
          <w:szCs w:val="32"/>
        </w:rPr>
      </w:pPr>
      <w:r>
        <w:rPr>
          <w:rFonts w:hint="eastAsia" w:ascii="仿宋" w:hAnsi="仿宋" w:eastAsia="仿宋"/>
          <w:b w:val="0"/>
          <w:bCs w:val="0"/>
          <w:kern w:val="0"/>
          <w:sz w:val="32"/>
          <w:szCs w:val="32"/>
        </w:rPr>
        <w:t>提升平台承载力和公共服务能力。</w:t>
      </w:r>
      <w:r>
        <w:rPr>
          <w:rFonts w:hint="eastAsia" w:ascii="仿宋_GB2312" w:hAnsi="仿宋" w:eastAsia="仿宋_GB2312"/>
          <w:b w:val="0"/>
          <w:bCs w:val="0"/>
          <w:kern w:val="0"/>
          <w:sz w:val="32"/>
          <w:szCs w:val="32"/>
        </w:rPr>
        <w:t>利用好国家推进“县城产业平台公共配套设施补短板强弱项”的政策，进一步完善经开区和工业园区基础承载力和配套服务能力。积极搭建创新载体平台，支持企业技术平台对外开放，强化资源共享，鼓励有知识、有技术、有能力、有创业愿望的大学生、技术人员等来我区起步创业</w:t>
      </w:r>
      <w:r>
        <w:rPr>
          <w:rFonts w:hint="eastAsia" w:ascii="仿宋_GB2312" w:hAnsi="仿宋" w:eastAsia="仿宋_GB2312"/>
          <w:b w:val="0"/>
          <w:bCs w:val="0"/>
          <w:sz w:val="32"/>
          <w:szCs w:val="32"/>
        </w:rPr>
        <w:t>。</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18" w:name="_Toc23190"/>
      <w:r>
        <w:rPr>
          <w:rFonts w:hint="eastAsia" w:ascii="黑体" w:hAnsi="黑体" w:eastAsia="黑体" w:cs="仿宋"/>
          <w:b w:val="0"/>
          <w:bCs w:val="0"/>
          <w:sz w:val="32"/>
          <w:szCs w:val="32"/>
        </w:rPr>
        <w:t>第四节 完善重点产业链条</w:t>
      </w:r>
      <w:bookmarkEnd w:id="18"/>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编制全区“</w:t>
      </w:r>
      <w:r>
        <w:rPr>
          <w:rFonts w:ascii="仿宋_GB2312" w:hAnsi="仿宋" w:eastAsia="仿宋_GB2312" w:cs="仿宋"/>
          <w:b w:val="0"/>
          <w:bCs w:val="0"/>
          <w:sz w:val="32"/>
          <w:szCs w:val="32"/>
        </w:rPr>
        <w:t>2+4”产业链图谱。</w:t>
      </w:r>
      <w:r>
        <w:rPr>
          <w:rFonts w:hint="eastAsia" w:ascii="仿宋_GB2312" w:hAnsi="仿宋" w:eastAsia="仿宋_GB2312" w:cs="仿宋"/>
          <w:b w:val="0"/>
          <w:bCs w:val="0"/>
          <w:sz w:val="32"/>
          <w:szCs w:val="32"/>
        </w:rPr>
        <w:t>围绕构建“2+4”现代产业体系，打造绿色农产品深加工、特色文化和旅游、新材料、现代服务、节能环保、生物6条区级重点产业链条。建立区、乡两级产业链链长制，推动产业链、供应链、创新链和资金链等多链融合，加快形成产业集群。进一步明确需要“稳链”“补链”“延链”“强链”的领域，用于引导资源要素聚焦。按时间维度明确国内外需求、发展目标、发展重点、示范工程、战略支撑和保障等路线计划，用于研究部署任务措施和支持政策。明确产业链发展重点的区域布局，引导社会资本投向，促进企业和项目向产业链重点区域集聚。明晰产业链龙头骨干企业及国内外上下游配套企业关联情况，统筹掌握产业链中企业整体发展情况，促进链上企业紧密协作。编制产业链招商目标图谱，制定年度招商引资清单，理清产业链上的产品、目标企业和配套关系，指导全区开展精准招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制定产业链培育方案。围绕百亿级综合产业集聚区，实现全市重要的绿色农产品精深加工制造基地的发展目标，制定产业行动计划、产业发展规划和《工作方案》，针对新形势下不同产业链的发展特点和现状，编制年度产业链培育方案，并将总体目标、任务和措施细化为年度计划，将年度计划转化为实实在在的发展成果。</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19" w:name="_Toc17614"/>
      <w:r>
        <w:rPr>
          <w:rFonts w:hint="eastAsia" w:ascii="黑体" w:hAnsi="黑体" w:eastAsia="黑体" w:cs="仿宋"/>
          <w:b w:val="0"/>
          <w:bCs w:val="0"/>
          <w:sz w:val="32"/>
          <w:szCs w:val="32"/>
        </w:rPr>
        <w:t>第五节 优化产业分工布局</w:t>
      </w:r>
      <w:bookmarkEnd w:id="19"/>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b w:val="0"/>
          <w:bCs w:val="0"/>
        </w:rPr>
      </w:pPr>
      <w:r>
        <w:rPr>
          <w:rFonts w:hint="eastAsia" w:ascii="仿宋_GB2312" w:hAnsi="仿宋" w:eastAsia="仿宋_GB2312" w:cs="仿宋"/>
          <w:b w:val="0"/>
          <w:bCs w:val="0"/>
          <w:sz w:val="32"/>
          <w:szCs w:val="32"/>
        </w:rPr>
        <w:t>聚焦“2+4”现代产业新体系，各乡镇立足自身区位、产业、资源等优势，培育特色产业型、生活服务型、商贸物流型的特色城镇。长岭街道重点发展绿色</w:t>
      </w:r>
      <w:r>
        <w:rPr>
          <w:rFonts w:ascii="仿宋_GB2312" w:hAnsi="仿宋" w:eastAsia="仿宋_GB2312" w:cs="仿宋"/>
          <w:b w:val="0"/>
          <w:bCs w:val="0"/>
          <w:sz w:val="32"/>
          <w:szCs w:val="32"/>
        </w:rPr>
        <w:t>农产品和畜牧食品加工制造</w:t>
      </w:r>
      <w:r>
        <w:rPr>
          <w:rFonts w:hint="eastAsia" w:ascii="仿宋_GB2312" w:hAnsi="仿宋" w:eastAsia="仿宋_GB2312" w:cs="仿宋"/>
          <w:b w:val="0"/>
          <w:bCs w:val="0"/>
          <w:sz w:val="32"/>
          <w:szCs w:val="32"/>
        </w:rPr>
        <w:t>产业；康金街道</w:t>
      </w:r>
      <w:r>
        <w:rPr>
          <w:rFonts w:ascii="仿宋_GB2312" w:hAnsi="仿宋" w:eastAsia="仿宋_GB2312" w:cs="仿宋"/>
          <w:b w:val="0"/>
          <w:bCs w:val="0"/>
          <w:sz w:val="32"/>
          <w:szCs w:val="32"/>
        </w:rPr>
        <w:t>重点</w:t>
      </w:r>
      <w:r>
        <w:rPr>
          <w:rFonts w:hint="eastAsia" w:ascii="仿宋_GB2312" w:hAnsi="仿宋" w:eastAsia="仿宋_GB2312" w:cs="仿宋"/>
          <w:b w:val="0"/>
          <w:bCs w:val="0"/>
          <w:sz w:val="32"/>
          <w:szCs w:val="32"/>
        </w:rPr>
        <w:t>推进大豆全产业链发展、创建全省特色</w:t>
      </w:r>
      <w:r>
        <w:rPr>
          <w:rFonts w:ascii="仿宋_GB2312" w:hAnsi="仿宋" w:eastAsia="仿宋_GB2312" w:cs="仿宋"/>
          <w:b w:val="0"/>
          <w:bCs w:val="0"/>
          <w:sz w:val="32"/>
          <w:szCs w:val="32"/>
        </w:rPr>
        <w:t>街区；</w:t>
      </w:r>
      <w:r>
        <w:rPr>
          <w:rFonts w:hint="eastAsia" w:ascii="仿宋_GB2312" w:hAnsi="仿宋" w:eastAsia="仿宋_GB2312" w:cs="仿宋"/>
          <w:b w:val="0"/>
          <w:bCs w:val="0"/>
          <w:sz w:val="32"/>
          <w:szCs w:val="32"/>
        </w:rPr>
        <w:t>双井</w:t>
      </w:r>
      <w:r>
        <w:rPr>
          <w:rFonts w:ascii="仿宋_GB2312" w:hAnsi="仿宋" w:eastAsia="仿宋_GB2312" w:cs="仿宋"/>
          <w:b w:val="0"/>
          <w:bCs w:val="0"/>
          <w:sz w:val="32"/>
          <w:szCs w:val="32"/>
        </w:rPr>
        <w:t>街道</w:t>
      </w:r>
      <w:r>
        <w:rPr>
          <w:rFonts w:hint="eastAsia" w:ascii="仿宋_GB2312" w:hAnsi="仿宋" w:eastAsia="仿宋_GB2312" w:cs="仿宋"/>
          <w:b w:val="0"/>
          <w:bCs w:val="0"/>
          <w:sz w:val="32"/>
          <w:szCs w:val="32"/>
        </w:rPr>
        <w:t>打造成为</w:t>
      </w:r>
      <w:r>
        <w:rPr>
          <w:rFonts w:ascii="仿宋_GB2312" w:hAnsi="仿宋" w:eastAsia="仿宋_GB2312" w:cs="仿宋"/>
          <w:b w:val="0"/>
          <w:bCs w:val="0"/>
          <w:sz w:val="32"/>
          <w:szCs w:val="32"/>
        </w:rPr>
        <w:t>经开区重点承载区、国家级现代农业示范</w:t>
      </w:r>
      <w:r>
        <w:rPr>
          <w:rFonts w:hint="eastAsia" w:ascii="仿宋_GB2312" w:hAnsi="仿宋" w:eastAsia="仿宋_GB2312" w:cs="仿宋"/>
          <w:b w:val="0"/>
          <w:bCs w:val="0"/>
          <w:sz w:val="32"/>
          <w:szCs w:val="32"/>
        </w:rPr>
        <w:t>区</w:t>
      </w:r>
      <w:r>
        <w:rPr>
          <w:rFonts w:ascii="仿宋_GB2312" w:hAnsi="仿宋" w:eastAsia="仿宋_GB2312" w:cs="仿宋"/>
          <w:b w:val="0"/>
          <w:bCs w:val="0"/>
          <w:sz w:val="32"/>
          <w:szCs w:val="32"/>
        </w:rPr>
        <w:t>；</w:t>
      </w:r>
      <w:r>
        <w:rPr>
          <w:rFonts w:hint="eastAsia" w:ascii="仿宋_GB2312" w:hAnsi="仿宋" w:eastAsia="仿宋_GB2312" w:cs="仿宋"/>
          <w:b w:val="0"/>
          <w:bCs w:val="0"/>
          <w:sz w:val="32"/>
          <w:szCs w:val="32"/>
        </w:rPr>
        <w:t>腰堡</w:t>
      </w:r>
      <w:r>
        <w:rPr>
          <w:rFonts w:ascii="仿宋_GB2312" w:hAnsi="仿宋" w:eastAsia="仿宋_GB2312" w:cs="仿宋"/>
          <w:b w:val="0"/>
          <w:bCs w:val="0"/>
          <w:sz w:val="32"/>
          <w:szCs w:val="32"/>
        </w:rPr>
        <w:t>街道重点发展</w:t>
      </w:r>
      <w:r>
        <w:rPr>
          <w:rFonts w:hint="eastAsia" w:ascii="仿宋_GB2312" w:hAnsi="仿宋" w:eastAsia="仿宋_GB2312" w:cs="仿宋"/>
          <w:b w:val="0"/>
          <w:bCs w:val="0"/>
          <w:sz w:val="32"/>
          <w:szCs w:val="32"/>
        </w:rPr>
        <w:t>生态</w:t>
      </w:r>
      <w:r>
        <w:rPr>
          <w:rFonts w:ascii="仿宋_GB2312" w:hAnsi="仿宋" w:eastAsia="仿宋_GB2312" w:cs="仿宋"/>
          <w:b w:val="0"/>
          <w:bCs w:val="0"/>
          <w:sz w:val="32"/>
          <w:szCs w:val="32"/>
        </w:rPr>
        <w:t>旅游、康养和市郊都市休闲</w:t>
      </w:r>
      <w:r>
        <w:rPr>
          <w:rFonts w:hint="eastAsia" w:ascii="仿宋_GB2312" w:hAnsi="仿宋" w:eastAsia="仿宋_GB2312" w:cs="仿宋"/>
          <w:b w:val="0"/>
          <w:bCs w:val="0"/>
          <w:sz w:val="32"/>
          <w:szCs w:val="32"/>
        </w:rPr>
        <w:t>产业</w:t>
      </w:r>
      <w:r>
        <w:rPr>
          <w:rFonts w:ascii="仿宋_GB2312" w:hAnsi="仿宋" w:eastAsia="仿宋_GB2312" w:cs="仿宋"/>
          <w:b w:val="0"/>
          <w:bCs w:val="0"/>
          <w:sz w:val="32"/>
          <w:szCs w:val="32"/>
        </w:rPr>
        <w:t>；</w:t>
      </w:r>
      <w:r>
        <w:rPr>
          <w:rFonts w:hint="eastAsia" w:ascii="仿宋_GB2312" w:hAnsi="仿宋" w:eastAsia="仿宋_GB2312" w:cs="仿宋"/>
          <w:b w:val="0"/>
          <w:bCs w:val="0"/>
          <w:sz w:val="32"/>
          <w:szCs w:val="32"/>
        </w:rPr>
        <w:t>白奎镇重点发展玉米、马铃薯、瓜果蔬菜、杂粮作物种植等；石人镇重点发展水稻、马铃薯、蔬菜种植及精深加工业、畜牧养殖业等；杨林乡重点发展玉米、大豆及乡村生态旅游；二八镇重点发展玉米、水稻、大豆种植及畜牧养殖业；大用镇重点发展畜牧养殖、加工及</w:t>
      </w:r>
      <w:r>
        <w:rPr>
          <w:rFonts w:hint="eastAsia" w:ascii="仿宋_GB2312" w:hAnsi="仿宋" w:eastAsia="仿宋_GB2312"/>
          <w:b w:val="0"/>
          <w:bCs w:val="0"/>
          <w:kern w:val="0"/>
          <w:sz w:val="32"/>
          <w:szCs w:val="32"/>
        </w:rPr>
        <w:t>冷链物流；孟家乡重点发展露地蔬菜种植、食用菌栽培及畜牧养殖等；许堡乡重点发展水稻</w:t>
      </w:r>
      <w:r>
        <w:rPr>
          <w:rFonts w:ascii="仿宋_GB2312" w:hAnsi="仿宋" w:eastAsia="仿宋_GB2312"/>
          <w:b w:val="0"/>
          <w:bCs w:val="0"/>
          <w:kern w:val="0"/>
          <w:sz w:val="32"/>
          <w:szCs w:val="32"/>
        </w:rPr>
        <w:t>、</w:t>
      </w:r>
      <w:r>
        <w:rPr>
          <w:rFonts w:hint="eastAsia" w:ascii="仿宋_GB2312" w:hAnsi="仿宋" w:eastAsia="仿宋_GB2312" w:cs="仿宋"/>
          <w:b w:val="0"/>
          <w:bCs w:val="0"/>
          <w:sz w:val="32"/>
          <w:szCs w:val="32"/>
        </w:rPr>
        <w:t>鹅雏孵化养殖等。</w:t>
      </w:r>
    </w:p>
    <w:p>
      <w:pPr>
        <w:keepNext w:val="0"/>
        <w:keepLines w:val="0"/>
        <w:pageBreakBefore w:val="0"/>
        <w:widowControl w:val="0"/>
        <w:kinsoku/>
        <w:wordWrap/>
        <w:overflowPunct/>
        <w:topLinePunct w:val="0"/>
        <w:bidi w:val="0"/>
        <w:adjustRightInd/>
        <w:snapToGrid/>
        <w:spacing w:line="600" w:lineRule="exact"/>
        <w:jc w:val="center"/>
        <w:textAlignment w:val="auto"/>
        <w:outlineLvl w:val="0"/>
        <w:rPr>
          <w:rFonts w:hint="eastAsia" w:ascii="黑体" w:hAnsi="黑体" w:eastAsia="黑体" w:cs="黑体"/>
          <w:b w:val="0"/>
          <w:bCs w:val="0"/>
          <w:spacing w:val="-4"/>
          <w:sz w:val="32"/>
          <w:szCs w:val="32"/>
        </w:rPr>
      </w:pPr>
      <w:bookmarkStart w:id="20" w:name="_Toc18124"/>
      <w:bookmarkStart w:id="21" w:name="_Toc58440954"/>
      <w:r>
        <w:rPr>
          <w:rFonts w:hint="eastAsia" w:ascii="黑体" w:hAnsi="黑体" w:eastAsia="黑体" w:cs="黑体"/>
          <w:b w:val="0"/>
          <w:bCs w:val="0"/>
          <w:spacing w:val="-4"/>
          <w:sz w:val="32"/>
          <w:szCs w:val="32"/>
        </w:rPr>
        <w:t>第四章 聚力呼兰经济复兴新动能</w:t>
      </w:r>
      <w:r>
        <w:rPr>
          <w:rFonts w:hint="eastAsia" w:ascii="黑体" w:hAnsi="黑体" w:eastAsia="黑体" w:cs="黑体"/>
          <w:b w:val="0"/>
          <w:bCs w:val="0"/>
          <w:spacing w:val="-4"/>
          <w:sz w:val="32"/>
          <w:szCs w:val="32"/>
          <w:lang w:val="en-US" w:eastAsia="zh-CN"/>
        </w:rPr>
        <w:t xml:space="preserve"> </w:t>
      </w:r>
      <w:r>
        <w:rPr>
          <w:rFonts w:hint="eastAsia" w:ascii="黑体" w:hAnsi="黑体" w:eastAsia="黑体" w:cs="黑体"/>
          <w:b w:val="0"/>
          <w:bCs w:val="0"/>
          <w:spacing w:val="-4"/>
          <w:sz w:val="32"/>
          <w:szCs w:val="32"/>
        </w:rPr>
        <w:t>打造经开区新增长极</w:t>
      </w:r>
      <w:bookmarkEnd w:id="20"/>
      <w:bookmarkEnd w:id="21"/>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hint="eastAsia" w:ascii="黑体" w:hAnsi="黑体" w:eastAsia="黑体" w:cs="黑体"/>
          <w:b w:val="0"/>
          <w:bCs w:val="0"/>
          <w:sz w:val="32"/>
          <w:szCs w:val="32"/>
        </w:rPr>
      </w:pPr>
      <w:bookmarkStart w:id="22" w:name="_Toc6541"/>
      <w:r>
        <w:rPr>
          <w:rFonts w:hint="eastAsia" w:ascii="黑体" w:hAnsi="黑体" w:eastAsia="黑体" w:cs="黑体"/>
          <w:b w:val="0"/>
          <w:bCs w:val="0"/>
          <w:sz w:val="32"/>
          <w:szCs w:val="32"/>
        </w:rPr>
        <w:t>第一节 建设国家级经开区</w:t>
      </w:r>
      <w:bookmarkEnd w:id="22"/>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明确发展目标与成效。到2025年达到100亿产值，头部企业10家，规模以上企业300家。聚集食、农、工领域高校5家，省市食品检测等第三方平台30家。知名数字化解决方案企业、产业化平台、研究所20家。引进食药大健康行业领军人才、专家10人，聚集中高端人才50人，实现就业人口2万人，建成国家级数字粮食、食品、药品基地，实现数字化管理产业、城市、生态融合发展的哈尔滨北部门户，争创国家级经开区，成为引领呼兰区经济复兴、再一次腾飞的新引擎。</w:t>
      </w:r>
    </w:p>
    <w:p>
      <w:pPr>
        <w:autoSpaceDE w:val="0"/>
        <w:autoSpaceDN w:val="0"/>
        <w:spacing w:line="560" w:lineRule="exact"/>
        <w:ind w:firstLine="640" w:firstLineChars="200"/>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构建“四地一园”的新型产业布局。建成绿色北药产业现代化基地，绿色食品深加工示范基地、国家</w:t>
      </w:r>
      <w:r>
        <w:rPr>
          <w:rFonts w:ascii="仿宋_GB2312" w:hAnsi="仿宋" w:eastAsia="仿宋_GB2312" w:cs="仿宋"/>
          <w:b w:val="0"/>
          <w:bCs w:val="0"/>
          <w:sz w:val="32"/>
          <w:szCs w:val="32"/>
        </w:rPr>
        <w:t>应急示范基地、</w:t>
      </w:r>
      <w:r>
        <w:rPr>
          <w:rFonts w:hint="eastAsia" w:ascii="仿宋_GB2312" w:hAnsi="仿宋" w:eastAsia="仿宋_GB2312" w:cs="仿宋"/>
          <w:b w:val="0"/>
          <w:bCs w:val="0"/>
          <w:sz w:val="32"/>
          <w:szCs w:val="32"/>
        </w:rPr>
        <w:t>“</w:t>
      </w:r>
      <w:r>
        <w:rPr>
          <w:rFonts w:ascii="仿宋_GB2312" w:hAnsi="仿宋" w:eastAsia="仿宋_GB2312" w:cs="仿宋"/>
          <w:b w:val="0"/>
          <w:bCs w:val="0"/>
          <w:sz w:val="32"/>
          <w:szCs w:val="32"/>
        </w:rPr>
        <w:t>数据+食药</w:t>
      </w:r>
      <w:r>
        <w:rPr>
          <w:rFonts w:hint="eastAsia" w:ascii="仿宋_GB2312" w:hAnsi="仿宋" w:eastAsia="仿宋_GB2312" w:cs="仿宋"/>
          <w:b w:val="0"/>
          <w:bCs w:val="0"/>
          <w:sz w:val="32"/>
          <w:szCs w:val="32"/>
        </w:rPr>
        <w:t>”</w:t>
      </w:r>
      <w:r>
        <w:rPr>
          <w:rFonts w:ascii="仿宋_GB2312" w:hAnsi="仿宋" w:eastAsia="仿宋_GB2312" w:cs="仿宋"/>
          <w:b w:val="0"/>
          <w:bCs w:val="0"/>
          <w:sz w:val="32"/>
          <w:szCs w:val="32"/>
        </w:rPr>
        <w:t>供应链产业基地、</w:t>
      </w:r>
      <w:r>
        <w:rPr>
          <w:rFonts w:hint="eastAsia" w:ascii="仿宋_GB2312" w:hAnsi="仿宋" w:eastAsia="仿宋_GB2312" w:cs="仿宋"/>
          <w:b w:val="0"/>
          <w:bCs w:val="0"/>
          <w:sz w:val="32"/>
          <w:szCs w:val="32"/>
        </w:rPr>
        <w:t>中国国际农产品加工产业园，确保开发区建设高起点推进。</w:t>
      </w:r>
    </w:p>
    <w:p>
      <w:pPr>
        <w:keepNext w:val="0"/>
        <w:keepLines w:val="0"/>
        <w:pageBreakBefore w:val="0"/>
        <w:widowControl w:val="0"/>
        <w:kinsoku/>
        <w:wordWrap/>
        <w:overflowPunct/>
        <w:topLinePunct w:val="0"/>
        <w:autoSpaceDE w:val="0"/>
        <w:autoSpaceDN w:val="0"/>
        <w:bidi w:val="0"/>
        <w:adjustRightInd/>
        <w:snapToGrid/>
        <w:spacing w:line="600" w:lineRule="atLeast"/>
        <w:ind w:firstLine="640" w:firstLineChars="200"/>
        <w:textAlignment w:val="auto"/>
        <w:rPr>
          <w:rFonts w:hint="eastAsia"/>
          <w:b w:val="0"/>
          <w:bCs w:val="0"/>
        </w:rPr>
      </w:pPr>
      <w:r>
        <w:rPr>
          <w:rFonts w:hint="eastAsia" w:ascii="仿宋_GB2312" w:hAnsi="仿宋" w:eastAsia="仿宋_GB2312" w:cs="仿宋"/>
          <w:b w:val="0"/>
          <w:bCs w:val="0"/>
          <w:sz w:val="32"/>
          <w:szCs w:val="32"/>
        </w:rPr>
        <w:t>重点支持主导产业发展。构建食品工业、医药健康、新材料三大产业体系。食品工业重点发展乳与乳制品、粮食和粮食制品、焙烤食品、肉及肉制品、饮料制品、应急食品及功能性食品等。医药健康重点发展以中药饮片、中药配方颗粒、保健品为主的生物医药，以大数据和健康服务、医药器械加工制造为主的大健康产业。新材料重点发展生物医药新材料、包装新材料、新型环保材料、石墨烯材料等。</w:t>
      </w:r>
    </w:p>
    <w:p>
      <w:pPr>
        <w:keepNext w:val="0"/>
        <w:keepLines w:val="0"/>
        <w:pageBreakBefore w:val="0"/>
        <w:widowControl w:val="0"/>
        <w:kinsoku/>
        <w:wordWrap/>
        <w:overflowPunct/>
        <w:topLinePunct w:val="0"/>
        <w:bidi w:val="0"/>
        <w:adjustRightInd/>
        <w:snapToGrid/>
        <w:spacing w:line="600" w:lineRule="atLeast"/>
        <w:jc w:val="center"/>
        <w:textAlignment w:val="auto"/>
        <w:outlineLvl w:val="1"/>
        <w:rPr>
          <w:rFonts w:ascii="黑体" w:hAnsi="黑体" w:eastAsia="黑体" w:cs="仿宋"/>
          <w:b w:val="0"/>
          <w:bCs w:val="0"/>
          <w:sz w:val="32"/>
          <w:szCs w:val="32"/>
        </w:rPr>
      </w:pPr>
      <w:bookmarkStart w:id="23" w:name="_Toc59434723"/>
      <w:bookmarkStart w:id="24" w:name="_Toc1801"/>
      <w:r>
        <w:rPr>
          <w:rFonts w:hint="eastAsia" w:ascii="黑体" w:hAnsi="黑体" w:eastAsia="黑体" w:cs="仿宋"/>
          <w:b w:val="0"/>
          <w:bCs w:val="0"/>
          <w:sz w:val="32"/>
          <w:szCs w:val="32"/>
        </w:rPr>
        <w:t>第二节 创新发展管理模式</w:t>
      </w:r>
      <w:bookmarkEnd w:id="23"/>
      <w:bookmarkEnd w:id="24"/>
    </w:p>
    <w:p>
      <w:pPr>
        <w:keepNext w:val="0"/>
        <w:keepLines w:val="0"/>
        <w:pageBreakBefore w:val="0"/>
        <w:widowControl w:val="0"/>
        <w:kinsoku/>
        <w:wordWrap/>
        <w:overflowPunct/>
        <w:topLinePunct w:val="0"/>
        <w:autoSpaceDE w:val="0"/>
        <w:autoSpaceDN w:val="0"/>
        <w:bidi w:val="0"/>
        <w:adjustRightInd/>
        <w:snapToGrid/>
        <w:spacing w:line="600" w:lineRule="atLeast"/>
        <w:ind w:firstLine="640" w:firstLineChars="200"/>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用创新的思维建设开发区。</w:t>
      </w:r>
      <w:r>
        <w:rPr>
          <w:rFonts w:hint="eastAsia" w:ascii="仿宋_GB2312" w:hAnsi="仿宋" w:eastAsia="仿宋_GB2312" w:cs="仿宋"/>
          <w:b w:val="0"/>
          <w:bCs w:val="0"/>
          <w:sz w:val="32"/>
          <w:szCs w:val="32"/>
        </w:rPr>
        <w:t>改变传统的开发区建设观念，依托发达地区战略合作伙伴，按照“以产兴城、以城促产、产城融合”的发展思路，建设达到南方发达地区水平的开发区。</w:t>
      </w:r>
    </w:p>
    <w:p>
      <w:pPr>
        <w:autoSpaceDE w:val="0"/>
        <w:autoSpaceDN w:val="0"/>
        <w:spacing w:line="600" w:lineRule="exact"/>
        <w:ind w:firstLine="640" w:firstLineChars="200"/>
        <w:rPr>
          <w:rFonts w:ascii="仿宋_GB2312" w:hAnsi="仿宋" w:eastAsia="仿宋_GB2312" w:cs="仿宋"/>
          <w:b w:val="0"/>
          <w:bCs w:val="0"/>
          <w:sz w:val="32"/>
          <w:szCs w:val="32"/>
        </w:rPr>
      </w:pPr>
      <w:r>
        <w:rPr>
          <w:rFonts w:hint="eastAsia" w:ascii="楷体" w:hAnsi="楷体" w:eastAsia="楷体" w:cs="仿宋"/>
          <w:b w:val="0"/>
          <w:bCs w:val="0"/>
          <w:sz w:val="32"/>
          <w:szCs w:val="32"/>
        </w:rPr>
        <w:t>用创新的模式管理开发区。</w:t>
      </w:r>
      <w:r>
        <w:rPr>
          <w:rFonts w:hint="eastAsia" w:ascii="仿宋_GB2312" w:hAnsi="仿宋" w:eastAsia="仿宋_GB2312" w:cs="仿宋"/>
          <w:b w:val="0"/>
          <w:bCs w:val="0"/>
          <w:sz w:val="32"/>
          <w:szCs w:val="32"/>
        </w:rPr>
        <w:t>站在国际最前沿，实行市场化运作、企业化管理、绩效化考核的管理模式，推动政府职能从“前台”直接管理到“后台”间接服务转变。实行党政主要领导统筹调度、分管领导包办推进、工作专班全程服务。</w:t>
      </w:r>
    </w:p>
    <w:p>
      <w:pPr>
        <w:autoSpaceDE w:val="0"/>
        <w:autoSpaceDN w:val="0"/>
        <w:spacing w:line="600" w:lineRule="exact"/>
        <w:ind w:firstLine="640" w:firstLineChars="200"/>
        <w:rPr>
          <w:rFonts w:ascii="仿宋_GB2312" w:hAnsi="仿宋" w:eastAsia="仿宋_GB2312" w:cs="仿宋"/>
          <w:b w:val="0"/>
          <w:bCs w:val="0"/>
          <w:sz w:val="32"/>
          <w:szCs w:val="32"/>
        </w:rPr>
      </w:pPr>
      <w:r>
        <w:rPr>
          <w:rFonts w:hint="eastAsia" w:ascii="楷体" w:hAnsi="楷体" w:eastAsia="楷体" w:cs="仿宋"/>
          <w:b w:val="0"/>
          <w:bCs w:val="0"/>
          <w:sz w:val="32"/>
          <w:szCs w:val="32"/>
        </w:rPr>
        <w:t>用创新的机制运营开发区。</w:t>
      </w:r>
      <w:r>
        <w:rPr>
          <w:rFonts w:hint="eastAsia" w:ascii="仿宋_GB2312" w:hAnsi="仿宋" w:eastAsia="仿宋_GB2312" w:cs="仿宋"/>
          <w:b w:val="0"/>
          <w:bCs w:val="0"/>
          <w:sz w:val="32"/>
          <w:szCs w:val="32"/>
        </w:rPr>
        <w:t>依托先进管理团队，与政府平台公司合资成立产业运营公司，实现策划、规划、建设、招商、运营等全方位、全生命周期的产业运营服务。推进开发区道路、标准厂房等配套建设，起步区全部建成，产业功能板块全面启动，不断提高园区的吸引力和承载力。</w:t>
      </w:r>
    </w:p>
    <w:p>
      <w:pPr>
        <w:autoSpaceDE w:val="0"/>
        <w:autoSpaceDN w:val="0"/>
        <w:spacing w:line="600" w:lineRule="exact"/>
        <w:ind w:firstLine="640" w:firstLineChars="200"/>
        <w:rPr>
          <w:rFonts w:ascii="仿宋_GB2312" w:hAnsi="仿宋" w:eastAsia="仿宋_GB2312" w:cs="仿宋"/>
          <w:b w:val="0"/>
          <w:bCs w:val="0"/>
          <w:sz w:val="32"/>
          <w:szCs w:val="32"/>
        </w:rPr>
      </w:pPr>
      <w:r>
        <w:rPr>
          <w:rFonts w:hint="eastAsia" w:ascii="楷体" w:hAnsi="楷体" w:eastAsia="楷体" w:cs="仿宋"/>
          <w:b w:val="0"/>
          <w:bCs w:val="0"/>
          <w:sz w:val="32"/>
          <w:szCs w:val="32"/>
        </w:rPr>
        <w:t>用新兴的产业支撑开发区。</w:t>
      </w:r>
      <w:r>
        <w:rPr>
          <w:rFonts w:hint="eastAsia" w:ascii="仿宋_GB2312" w:hAnsi="仿宋" w:eastAsia="仿宋_GB2312" w:cs="仿宋"/>
          <w:b w:val="0"/>
          <w:bCs w:val="0"/>
          <w:sz w:val="32"/>
          <w:szCs w:val="32"/>
        </w:rPr>
        <w:t>立足打造绿色北药产业现代化基地、绿色食品深加工示范基地、国家应急产业示范基地、“数字+食药”供应链安全示范基地和中国国际农产品加工产业园“四地一园”建设布局，聚焦食品饮料、应急食品、中药、保健品等12个新产业，通过委托招商、叩门招商、以商招商、产业链招商等方式，引进龙头型、平台型、总部型产业项目。</w:t>
      </w:r>
    </w:p>
    <w:p>
      <w:pPr>
        <w:pStyle w:val="2"/>
        <w:rPr>
          <w:rFonts w:hint="eastAsia"/>
          <w:b w:val="0"/>
          <w:bCs w:val="0"/>
        </w:rPr>
      </w:pPr>
    </w:p>
    <w:p>
      <w:pPr>
        <w:pStyle w:val="2"/>
        <w:rPr>
          <w:b w:val="0"/>
          <w:bCs w:val="0"/>
        </w:rPr>
      </w:pPr>
    </w:p>
    <w:tbl>
      <w:tblPr>
        <w:tblStyle w:val="6"/>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8" w:type="dxa"/>
            <w:noWrap w:val="0"/>
            <w:vAlign w:val="top"/>
          </w:tcPr>
          <w:p>
            <w:pPr>
              <w:spacing w:before="240" w:after="240"/>
              <w:jc w:val="center"/>
              <w:outlineLvl w:val="5"/>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专栏</w:t>
            </w:r>
            <w:r>
              <w:rPr>
                <w:rFonts w:ascii="仿宋_GB2312" w:hAnsi="仿宋" w:eastAsia="仿宋_GB2312" w:cs="仿宋"/>
                <w:b w:val="0"/>
                <w:bCs w:val="0"/>
                <w:sz w:val="24"/>
                <w:szCs w:val="24"/>
              </w:rPr>
              <w:t>7</w:t>
            </w:r>
            <w:r>
              <w:rPr>
                <w:rFonts w:hint="eastAsia" w:ascii="仿宋_GB2312" w:hAnsi="仿宋" w:eastAsia="仿宋_GB2312" w:cs="仿宋"/>
                <w:b w:val="0"/>
                <w:bCs w:val="0"/>
                <w:sz w:val="24"/>
                <w:szCs w:val="24"/>
              </w:rPr>
              <w:t xml:space="preserve"> 经开区重点工程项目 </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呼兰区光谷标准化产业园区基础设施项目。</w:t>
            </w:r>
            <w:r>
              <w:rPr>
                <w:rFonts w:ascii="仿宋_GB2312" w:hAnsi="仿宋" w:eastAsia="仿宋_GB2312" w:cs="仿宋"/>
                <w:b w:val="0"/>
                <w:bCs w:val="0"/>
                <w:sz w:val="24"/>
                <w:szCs w:val="24"/>
              </w:rPr>
              <w:t>新建产业园区基础设施。建设内容包括展示中心、孵化器与研发中心、多层厂房、单层厂房、生活配套楼及配套设施工程。</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经开区配套项目</w:t>
            </w:r>
            <w:r>
              <w:rPr>
                <w:rFonts w:ascii="仿宋_GB2312" w:hAnsi="仿宋" w:eastAsia="仿宋_GB2312" w:cs="仿宋"/>
                <w:b w:val="0"/>
                <w:bCs w:val="0"/>
                <w:sz w:val="24"/>
                <w:szCs w:val="24"/>
              </w:rPr>
              <w:t>基础设施建设6条道路和泵站及厂外工程项目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站前路（东段）；景荣路（站前路——铸钢街段）；景业路（站前路——铸钢街段）；铁东南北街四（景业路——景荣路段）；铁东南北街五（景业路——景荣路段）；铸钢街（景业路——景荣路段）；泵站及厂外工程项目。道路、照明、排水、绿化、交通设施等工程。</w:t>
            </w:r>
          </w:p>
        </w:tc>
      </w:tr>
    </w:tbl>
    <w:p>
      <w:pPr>
        <w:pStyle w:val="2"/>
        <w:rPr>
          <w:rFonts w:ascii="仿宋_GB2312" w:eastAsia="仿宋_GB2312"/>
          <w:b w:val="0"/>
          <w:bCs w:val="0"/>
        </w:rPr>
      </w:pPr>
    </w:p>
    <w:p>
      <w:pPr>
        <w:keepNext w:val="0"/>
        <w:keepLines w:val="0"/>
        <w:pageBreakBefore w:val="0"/>
        <w:widowControl w:val="0"/>
        <w:kinsoku/>
        <w:wordWrap/>
        <w:overflowPunct/>
        <w:topLinePunct w:val="0"/>
        <w:bidi w:val="0"/>
        <w:adjustRightInd/>
        <w:snapToGrid/>
        <w:spacing w:line="600" w:lineRule="atLeast"/>
        <w:jc w:val="center"/>
        <w:textAlignment w:val="auto"/>
        <w:outlineLvl w:val="0"/>
        <w:rPr>
          <w:rFonts w:hint="eastAsia" w:ascii="黑体" w:hAnsi="黑体" w:eastAsia="黑体" w:cs="黑体"/>
          <w:b w:val="0"/>
          <w:bCs w:val="0"/>
          <w:spacing w:val="-6"/>
          <w:sz w:val="32"/>
          <w:szCs w:val="32"/>
        </w:rPr>
      </w:pPr>
      <w:r>
        <w:rPr>
          <w:rFonts w:hint="eastAsia" w:ascii="黑体" w:hAnsi="黑体" w:eastAsia="黑体" w:cs="黑体"/>
          <w:b w:val="0"/>
          <w:bCs w:val="0"/>
          <w:spacing w:val="-6"/>
          <w:sz w:val="32"/>
          <w:szCs w:val="32"/>
        </w:rPr>
        <w:t xml:space="preserve"> </w:t>
      </w:r>
      <w:bookmarkStart w:id="25" w:name="_Toc32139"/>
      <w:r>
        <w:rPr>
          <w:rFonts w:hint="eastAsia" w:ascii="黑体" w:hAnsi="黑体" w:eastAsia="黑体" w:cs="黑体"/>
          <w:b w:val="0"/>
          <w:bCs w:val="0"/>
          <w:spacing w:val="-6"/>
          <w:sz w:val="32"/>
          <w:szCs w:val="32"/>
        </w:rPr>
        <w:t>第五章 推进文旅、消费产业发展</w:t>
      </w:r>
      <w:r>
        <w:rPr>
          <w:rFonts w:hint="eastAsia" w:ascii="黑体" w:hAnsi="黑体" w:eastAsia="黑体" w:cs="黑体"/>
          <w:b w:val="0"/>
          <w:bCs w:val="0"/>
          <w:spacing w:val="-6"/>
          <w:sz w:val="32"/>
          <w:szCs w:val="32"/>
          <w:lang w:val="en-US" w:eastAsia="zh-CN"/>
        </w:rPr>
        <w:t xml:space="preserve"> </w:t>
      </w:r>
      <w:r>
        <w:rPr>
          <w:rFonts w:hint="eastAsia" w:ascii="黑体" w:hAnsi="黑体" w:eastAsia="黑体" w:cs="黑体"/>
          <w:b w:val="0"/>
          <w:bCs w:val="0"/>
          <w:spacing w:val="-6"/>
          <w:sz w:val="32"/>
          <w:szCs w:val="32"/>
        </w:rPr>
        <w:t>打造消费型新兴城市</w:t>
      </w:r>
      <w:bookmarkEnd w:id="25"/>
    </w:p>
    <w:p>
      <w:pPr>
        <w:keepNext w:val="0"/>
        <w:keepLines w:val="0"/>
        <w:pageBreakBefore w:val="0"/>
        <w:widowControl w:val="0"/>
        <w:kinsoku/>
        <w:wordWrap/>
        <w:overflowPunct/>
        <w:topLinePunct w:val="0"/>
        <w:autoSpaceDE w:val="0"/>
        <w:autoSpaceDN w:val="0"/>
        <w:bidi w:val="0"/>
        <w:adjustRightInd/>
        <w:snapToGrid/>
        <w:spacing w:line="600" w:lineRule="atLeast"/>
        <w:ind w:firstLine="640" w:firstLineChars="200"/>
        <w:textAlignment w:val="auto"/>
        <w:rPr>
          <w:b w:val="0"/>
          <w:bCs w:val="0"/>
        </w:rPr>
      </w:pPr>
      <w:r>
        <w:rPr>
          <w:rFonts w:hint="eastAsia" w:ascii="仿宋_GB2312" w:hAnsi="仿宋" w:eastAsia="仿宋_GB2312" w:cs="仿宋"/>
          <w:b w:val="0"/>
          <w:bCs w:val="0"/>
          <w:sz w:val="32"/>
          <w:szCs w:val="32"/>
        </w:rPr>
        <w:t>依托文化旅游资源</w:t>
      </w:r>
      <w:r>
        <w:rPr>
          <w:rFonts w:ascii="仿宋_GB2312" w:hAnsi="仿宋" w:eastAsia="仿宋_GB2312" w:cs="仿宋"/>
          <w:b w:val="0"/>
          <w:bCs w:val="0"/>
          <w:sz w:val="32"/>
          <w:szCs w:val="32"/>
        </w:rPr>
        <w:t>优势，打造</w:t>
      </w:r>
      <w:r>
        <w:rPr>
          <w:rFonts w:hint="eastAsia" w:ascii="仿宋_GB2312" w:hAnsi="仿宋" w:eastAsia="仿宋_GB2312" w:cs="仿宋"/>
          <w:b w:val="0"/>
          <w:bCs w:val="0"/>
          <w:sz w:val="32"/>
          <w:szCs w:val="32"/>
        </w:rPr>
        <w:t>文旅产业消费、生活服务消费，积极培育和壮大发展新模式、新业态，</w:t>
      </w:r>
      <w:r>
        <w:rPr>
          <w:rFonts w:ascii="仿宋_GB2312" w:hAnsi="仿宋" w:eastAsia="仿宋_GB2312" w:cs="仿宋"/>
          <w:b w:val="0"/>
          <w:bCs w:val="0"/>
          <w:sz w:val="32"/>
          <w:szCs w:val="32"/>
        </w:rPr>
        <w:t>激发消费潜力，提</w:t>
      </w:r>
      <w:r>
        <w:rPr>
          <w:rFonts w:hint="eastAsia" w:ascii="仿宋_GB2312" w:hAnsi="仿宋" w:eastAsia="仿宋_GB2312" w:cs="仿宋"/>
          <w:b w:val="0"/>
          <w:bCs w:val="0"/>
          <w:sz w:val="32"/>
          <w:szCs w:val="32"/>
        </w:rPr>
        <w:t>振</w:t>
      </w:r>
      <w:r>
        <w:rPr>
          <w:rFonts w:ascii="仿宋_GB2312" w:hAnsi="仿宋" w:eastAsia="仿宋_GB2312" w:cs="仿宋"/>
          <w:b w:val="0"/>
          <w:bCs w:val="0"/>
          <w:sz w:val="32"/>
          <w:szCs w:val="32"/>
        </w:rPr>
        <w:t>消费市场</w:t>
      </w:r>
      <w:r>
        <w:rPr>
          <w:rFonts w:hint="eastAsia" w:ascii="仿宋_GB2312" w:hAnsi="仿宋" w:eastAsia="仿宋_GB2312" w:cs="仿宋"/>
          <w:b w:val="0"/>
          <w:bCs w:val="0"/>
          <w:sz w:val="32"/>
          <w:szCs w:val="32"/>
        </w:rPr>
        <w:t>活力。</w:t>
      </w:r>
    </w:p>
    <w:p>
      <w:pPr>
        <w:keepNext w:val="0"/>
        <w:keepLines w:val="0"/>
        <w:pageBreakBefore w:val="0"/>
        <w:widowControl w:val="0"/>
        <w:kinsoku/>
        <w:wordWrap/>
        <w:overflowPunct/>
        <w:topLinePunct w:val="0"/>
        <w:bidi w:val="0"/>
        <w:adjustRightInd/>
        <w:snapToGrid/>
        <w:spacing w:line="600" w:lineRule="atLeast"/>
        <w:jc w:val="center"/>
        <w:textAlignment w:val="auto"/>
        <w:outlineLvl w:val="1"/>
        <w:rPr>
          <w:rFonts w:ascii="黑体" w:hAnsi="黑体" w:eastAsia="黑体" w:cs="仿宋"/>
          <w:b w:val="0"/>
          <w:bCs w:val="0"/>
          <w:sz w:val="32"/>
          <w:szCs w:val="32"/>
        </w:rPr>
      </w:pPr>
      <w:bookmarkStart w:id="26" w:name="_Toc19605"/>
      <w:r>
        <w:rPr>
          <w:rFonts w:hint="eastAsia" w:ascii="黑体" w:hAnsi="黑体" w:eastAsia="黑体" w:cs="仿宋"/>
          <w:b w:val="0"/>
          <w:bCs w:val="0"/>
          <w:sz w:val="32"/>
          <w:szCs w:val="32"/>
        </w:rPr>
        <w:t>第一节 壮大文旅产业消费规模</w:t>
      </w:r>
      <w:bookmarkEnd w:id="26"/>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坚持把旅游的发展方向定位在弘扬深厚历史文化和独特的生态资源上，把重点投放在城区和江河沿线上，把路径设计在项目谋划和吸引投资上，加快文旅产业发展步伐。高点定位、高端开发文旅、康养项目，促进沿江旅游产业带开发建设。围绕冰雪资源，开发冬季旅游项目。推动以观光、休闲、体验为主的“周末经济”业态，大力发展集餐饮、种植、采摘、垂钓等为一体的休闲农家乐，打造哈尔滨休闲旅游“后花园”，推动旅游经济由“观光旅游”向“度假旅游”转型。围绕“吃住行游购娱”，完善旅游交通、景区便民设施和智慧旅游公共服务体系建设。开发剪纸、人物传记等特色文化旅游产品，充分挖掘培育具有呼兰风味的名小吃，有效刺激旅游消费，打造呼兰生态文化旅游新城。</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27" w:name="_Toc14709"/>
      <w:r>
        <w:rPr>
          <w:rFonts w:hint="eastAsia" w:ascii="黑体" w:hAnsi="黑体" w:eastAsia="黑体" w:cs="仿宋"/>
          <w:b w:val="0"/>
          <w:bCs w:val="0"/>
          <w:sz w:val="32"/>
          <w:szCs w:val="32"/>
        </w:rPr>
        <w:t>第二节 推动生活服务业提档升级</w:t>
      </w:r>
      <w:bookmarkEnd w:id="27"/>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b w:val="0"/>
          <w:bCs w:val="0"/>
        </w:rPr>
      </w:pPr>
      <w:r>
        <w:rPr>
          <w:rFonts w:hint="eastAsia" w:ascii="仿宋_GB2312" w:hAnsi="仿宋" w:eastAsia="仿宋_GB2312"/>
          <w:b w:val="0"/>
          <w:bCs w:val="0"/>
          <w:sz w:val="32"/>
          <w:szCs w:val="32"/>
        </w:rPr>
        <w:t>全面促进文体、健康、家政等生活服务业提档升级。发展体育健身休闲业，</w:t>
      </w:r>
      <w:r>
        <w:rPr>
          <w:rFonts w:hint="eastAsia" w:ascii="仿宋_GB2312" w:hAnsi="仿宋" w:eastAsia="仿宋_GB2312" w:cs="仿宋"/>
          <w:b w:val="0"/>
          <w:bCs w:val="0"/>
          <w:sz w:val="32"/>
          <w:szCs w:val="32"/>
        </w:rPr>
        <w:t>重点发展冰雪赛事、水上运动等项目，打造滨江体育品牌等运动休闲产业，</w:t>
      </w:r>
      <w:r>
        <w:rPr>
          <w:rFonts w:hint="eastAsia" w:ascii="仿宋_GB2312" w:hAnsi="仿宋" w:eastAsia="仿宋_GB2312"/>
          <w:b w:val="0"/>
          <w:bCs w:val="0"/>
          <w:sz w:val="32"/>
          <w:szCs w:val="32"/>
        </w:rPr>
        <w:t>支持社会力量举办商业性赛事。积极发展家政服务、托幼托育、健康养老等服务业态，推动家庭服务网点进社区，创新家庭服务业模式，促进家庭服务业规模化、品牌化和网络化发展。加快老城区商业区建设，打造高标准现代消费商圈。开展文化、休闲、旅游、娱乐等领域的服务消费升级行动，出台支持夜经济、地摊经济发展政策，进一步加强市政管线、车辆停靠、网络通信、监测监控、环境卫生、物流、前置仓、末端配送等标准化基础设施建设，优化购物环境和消费体验，促进服务消费提质升级。</w:t>
      </w:r>
    </w:p>
    <w:p>
      <w:pPr>
        <w:keepNext w:val="0"/>
        <w:keepLines w:val="0"/>
        <w:pageBreakBefore w:val="0"/>
        <w:widowControl w:val="0"/>
        <w:kinsoku/>
        <w:wordWrap/>
        <w:overflowPunct/>
        <w:topLinePunct w:val="0"/>
        <w:bidi w:val="0"/>
        <w:adjustRightInd/>
        <w:snapToGrid/>
        <w:spacing w:line="600" w:lineRule="exact"/>
        <w:jc w:val="center"/>
        <w:textAlignment w:val="auto"/>
        <w:outlineLvl w:val="0"/>
        <w:rPr>
          <w:rFonts w:hint="eastAsia" w:ascii="黑体" w:hAnsi="黑体" w:eastAsia="黑体" w:cs="黑体"/>
          <w:b w:val="0"/>
          <w:bCs w:val="0"/>
          <w:spacing w:val="-6"/>
          <w:sz w:val="32"/>
          <w:szCs w:val="32"/>
        </w:rPr>
      </w:pPr>
      <w:bookmarkStart w:id="28" w:name="_Toc20428"/>
      <w:r>
        <w:rPr>
          <w:rFonts w:hint="eastAsia" w:ascii="黑体" w:hAnsi="黑体" w:eastAsia="黑体" w:cs="黑体"/>
          <w:b w:val="0"/>
          <w:bCs w:val="0"/>
          <w:spacing w:val="-6"/>
          <w:sz w:val="32"/>
          <w:szCs w:val="32"/>
        </w:rPr>
        <w:t>第六章 聚焦农产品需求市场</w:t>
      </w:r>
      <w:r>
        <w:rPr>
          <w:rFonts w:hint="eastAsia" w:ascii="黑体" w:hAnsi="黑体" w:eastAsia="黑体" w:cs="黑体"/>
          <w:b w:val="0"/>
          <w:bCs w:val="0"/>
          <w:spacing w:val="-6"/>
          <w:sz w:val="32"/>
          <w:szCs w:val="32"/>
          <w:lang w:val="en-US" w:eastAsia="zh-CN"/>
        </w:rPr>
        <w:t xml:space="preserve"> </w:t>
      </w:r>
      <w:r>
        <w:rPr>
          <w:rFonts w:hint="eastAsia" w:ascii="黑体" w:hAnsi="黑体" w:eastAsia="黑体" w:cs="黑体"/>
          <w:b w:val="0"/>
          <w:bCs w:val="0"/>
          <w:spacing w:val="-6"/>
          <w:sz w:val="32"/>
          <w:szCs w:val="32"/>
        </w:rPr>
        <w:t>积极推进农业现代化</w:t>
      </w:r>
      <w:bookmarkEnd w:id="28"/>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依托呼兰绿色、生态优势，以建设高品质绿色农产品基地为牵动，统筹推进粮经饲结构调整，鼓励发展绿色有机种养殖业，推进农业标准化生产，促进种养殖业良性循环，加大无公害、绿色、有机农产品供给。</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29" w:name="_Toc29974"/>
      <w:r>
        <w:rPr>
          <w:rFonts w:hint="eastAsia" w:ascii="黑体" w:hAnsi="黑体" w:eastAsia="黑体" w:cs="仿宋"/>
          <w:b w:val="0"/>
          <w:bCs w:val="0"/>
          <w:sz w:val="32"/>
          <w:szCs w:val="32"/>
        </w:rPr>
        <w:t>第一节 进一步优化调整农业产业结构</w:t>
      </w:r>
      <w:bookmarkEnd w:id="29"/>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kern w:val="0"/>
          <w:sz w:val="32"/>
          <w:szCs w:val="32"/>
        </w:rPr>
      </w:pPr>
      <w:r>
        <w:rPr>
          <w:rFonts w:hint="eastAsia" w:ascii="楷体" w:hAnsi="楷体" w:eastAsia="楷体" w:cs="仿宋"/>
          <w:b w:val="0"/>
          <w:bCs w:val="0"/>
          <w:sz w:val="32"/>
          <w:szCs w:val="32"/>
        </w:rPr>
        <w:t>建成全国重要的寒地优质生态农产品供应基地。</w:t>
      </w:r>
      <w:r>
        <w:rPr>
          <w:rFonts w:hint="eastAsia" w:ascii="仿宋_GB2312" w:hAnsi="仿宋" w:eastAsia="仿宋_GB2312" w:cs="仿宋"/>
          <w:b w:val="0"/>
          <w:bCs w:val="0"/>
          <w:sz w:val="32"/>
          <w:szCs w:val="32"/>
        </w:rPr>
        <w:t>全面落实国家粮食安全战略，深化农业供给侧结构性改革，以康金街道、白奎镇、莲花镇、大用镇、石人镇、孟家乡、许堡乡为重点区域发展玉米、水稻等粮食生产，将粮食综合生产能力稳定在20亿斤以上。在保障粮食综合生产能力的前提下，不断调整优化种植结构，大力发展紧缺和绿色优质农产品生产，扩大经济作物种植比例，全年增加大豆、马铃薯、经济作物种植面积30万亩以上。重点打造20万亩鲜食玉米、露地菜、畜产品、北药等为主导的经济作物产业，推动食用菌、爆裂玉米等特色产业上规模、提质量。努力形成“一乡一业、一村一品”的发展势头。</w:t>
      </w:r>
      <w:r>
        <w:rPr>
          <w:rFonts w:hint="eastAsia" w:ascii="仿宋_GB2312" w:hAnsi="仿宋" w:eastAsia="仿宋_GB2312" w:cs="仿宋"/>
          <w:b w:val="0"/>
          <w:bCs w:val="0"/>
          <w:kern w:val="0"/>
          <w:sz w:val="32"/>
          <w:szCs w:val="32"/>
        </w:rPr>
        <w:t>力争到2025年建成全国重要的寒地优质生态农产品供应基地。</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kern w:val="0"/>
          <w:sz w:val="32"/>
          <w:szCs w:val="32"/>
        </w:rPr>
      </w:pPr>
      <w:r>
        <w:rPr>
          <w:rFonts w:hint="eastAsia" w:ascii="楷体" w:hAnsi="楷体" w:eastAsia="楷体" w:cs="仿宋"/>
          <w:b w:val="0"/>
          <w:bCs w:val="0"/>
          <w:sz w:val="32"/>
          <w:szCs w:val="32"/>
        </w:rPr>
        <w:t>打造为全市供应安全食品的城市中央厨房。</w:t>
      </w:r>
      <w:r>
        <w:rPr>
          <w:rFonts w:hint="eastAsia" w:ascii="仿宋_GB2312" w:hAnsi="仿宋" w:eastAsia="仿宋_GB2312" w:cs="仿宋"/>
          <w:b w:val="0"/>
          <w:bCs w:val="0"/>
          <w:kern w:val="0"/>
          <w:sz w:val="32"/>
          <w:szCs w:val="32"/>
        </w:rPr>
        <w:t>深入贯彻落实省政府绿色食品产业发展战略，努力创建绿色农产品标准化生产基地。重点沿哈肇路、长莲路、呼白路建立蔬菜生产基地，形成规模化、产业化的廊道蔬菜产业区。突出发展呼兰韭菜、大葱等区域特色优势品种，建设绿色有机大葱标准化种植基地、绿色有机韭菜标准化种植基地、无公害绿色瓜果标准化种植基地，建设标准化、规模化和集约化食用菌生产基地。加快马铃薯、粘玉米、韭菜、大葱等“呼兰河”系列地理商标建设，形成稳固的原料“第一车间”，将绿色安全放心的食品送至百姓餐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建成寒地现代畜牧业规模生产基地。</w:t>
      </w:r>
      <w:r>
        <w:rPr>
          <w:rFonts w:hint="eastAsia" w:ascii="仿宋_GB2312" w:hAnsi="仿宋" w:eastAsia="仿宋_GB2312" w:cs="仿宋"/>
          <w:b w:val="0"/>
          <w:bCs w:val="0"/>
          <w:sz w:val="32"/>
          <w:szCs w:val="32"/>
        </w:rPr>
        <w:t>积极调整畜牧业内部结构，加快奶牛、肉牛等节粮型养殖业发展，稳步提升生猪、鸡鸭等养殖，积极发展肉羊和特种养殖。以有机肥产业发展为纽带，以康金街道、沈家街道为核心，发展肉牛、生猪养殖区；以孟家乡、白奎镇为核心发展奶牛养殖区；以昌泰牧业为依托，形成鹅鸭等家禽养殖基地。充分发掘与整合呼兰渔业发展资源，优化养殖品种结构，大力推广绿色标准化健康养殖模式，拓宽渔业生产领域，打造多功能渔业文化。依托先进的生产技术和设施装备，集约化、规模化发展养殖业，加快形成寒地现代畜牧业规模生产基地建设，实现种植业和养殖业紧密结合，促进良性循环，改良土壤，培植地力，实现“三降”目标。</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30" w:name="_Toc3774"/>
      <w:r>
        <w:rPr>
          <w:rFonts w:hint="eastAsia" w:ascii="黑体" w:hAnsi="黑体" w:eastAsia="黑体" w:cs="仿宋"/>
          <w:b w:val="0"/>
          <w:bCs w:val="0"/>
          <w:sz w:val="32"/>
          <w:szCs w:val="32"/>
        </w:rPr>
        <w:t>第二节 打造保障</w:t>
      </w:r>
      <w:r>
        <w:rPr>
          <w:rFonts w:ascii="黑体" w:hAnsi="黑体" w:eastAsia="黑体" w:cs="仿宋"/>
          <w:b w:val="0"/>
          <w:bCs w:val="0"/>
          <w:sz w:val="32"/>
          <w:szCs w:val="32"/>
        </w:rPr>
        <w:t>国家粮食安全</w:t>
      </w:r>
      <w:r>
        <w:rPr>
          <w:rFonts w:hint="eastAsia" w:ascii="黑体" w:hAnsi="黑体" w:eastAsia="黑体" w:cs="仿宋"/>
          <w:b w:val="0"/>
          <w:bCs w:val="0"/>
          <w:sz w:val="32"/>
          <w:szCs w:val="32"/>
        </w:rPr>
        <w:t>“</w:t>
      </w:r>
      <w:r>
        <w:rPr>
          <w:rFonts w:ascii="黑体" w:hAnsi="黑体" w:eastAsia="黑体" w:cs="仿宋"/>
          <w:b w:val="0"/>
          <w:bCs w:val="0"/>
          <w:sz w:val="32"/>
          <w:szCs w:val="32"/>
        </w:rPr>
        <w:t>压舱石</w:t>
      </w:r>
      <w:r>
        <w:rPr>
          <w:rFonts w:hint="eastAsia" w:ascii="黑体" w:hAnsi="黑体" w:eastAsia="黑体" w:cs="仿宋"/>
          <w:b w:val="0"/>
          <w:bCs w:val="0"/>
          <w:sz w:val="32"/>
          <w:szCs w:val="32"/>
        </w:rPr>
        <w:t>”</w:t>
      </w:r>
      <w:bookmarkEnd w:id="30"/>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落实“藏粮于技，藏粮于地”战略。</w:t>
      </w:r>
      <w:r>
        <w:rPr>
          <w:rFonts w:hint="eastAsia" w:ascii="仿宋_GB2312" w:hAnsi="仿宋" w:eastAsia="仿宋_GB2312" w:cs="仿宋"/>
          <w:b w:val="0"/>
          <w:bCs w:val="0"/>
          <w:sz w:val="32"/>
          <w:szCs w:val="32"/>
        </w:rPr>
        <w:t>实施黑土地保护工程，按照《全省亿亩生态高标准农田建设规划》，持续推进中低产田改造，夯实可持续发展基础。将“农业三减”与黑土保护工作紧密结合，加强农业面源污染治理和农业废弃物的转化及利用，</w:t>
      </w:r>
      <w:r>
        <w:rPr>
          <w:rFonts w:hint="eastAsia" w:ascii="仿宋_GB2312" w:hAnsi="仿宋" w:eastAsia="仿宋_GB2312" w:cs="仿宋"/>
          <w:b w:val="0"/>
          <w:bCs w:val="0"/>
          <w:kern w:val="0"/>
          <w:sz w:val="32"/>
          <w:szCs w:val="32"/>
        </w:rPr>
        <w:t>化肥施用量减少15%以上，主要农作物病虫害防控覆盖率达到45%以上，从源头上保证农产品质量安全</w:t>
      </w:r>
      <w:r>
        <w:rPr>
          <w:rFonts w:hint="eastAsia" w:ascii="仿宋_GB2312" w:hAnsi="仿宋" w:eastAsia="仿宋_GB2312" w:cs="仿宋"/>
          <w:b w:val="0"/>
          <w:bCs w:val="0"/>
          <w:sz w:val="32"/>
          <w:szCs w:val="32"/>
        </w:rPr>
        <w:t>。加强莲花镇、杨林乡、二八镇、方台镇和石人镇等农田水利基础设施建设，继续实施节水增粮行动，提高农田灌溉和防洪除涝抗旱能力。提升蔬菜、畜牧、食用菌等设施化水平，加快智能温室、大棚、库房、冷链及运输等设施建设。到2025年，完成</w:t>
      </w:r>
      <w:bookmarkStart w:id="31" w:name="_Hlk44939299"/>
      <w:r>
        <w:rPr>
          <w:rFonts w:hint="eastAsia" w:ascii="仿宋_GB2312" w:hAnsi="仿宋" w:eastAsia="仿宋_GB2312" w:cs="仿宋"/>
          <w:b w:val="0"/>
          <w:bCs w:val="0"/>
          <w:sz w:val="32"/>
          <w:szCs w:val="32"/>
        </w:rPr>
        <w:t>25万亩生态高产标准农田</w:t>
      </w:r>
      <w:bookmarkEnd w:id="31"/>
      <w:r>
        <w:rPr>
          <w:rFonts w:hint="eastAsia" w:ascii="仿宋_GB2312" w:hAnsi="仿宋" w:eastAsia="仿宋_GB2312" w:cs="仿宋"/>
          <w:b w:val="0"/>
          <w:bCs w:val="0"/>
          <w:sz w:val="32"/>
          <w:szCs w:val="32"/>
        </w:rPr>
        <w:t>建设任务。</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强化农业科技支撑能力。</w:t>
      </w:r>
      <w:r>
        <w:rPr>
          <w:rFonts w:hint="eastAsia" w:ascii="仿宋_GB2312" w:hAnsi="仿宋" w:eastAsia="仿宋_GB2312" w:cs="仿宋"/>
          <w:b w:val="0"/>
          <w:bCs w:val="0"/>
          <w:sz w:val="32"/>
          <w:szCs w:val="32"/>
        </w:rPr>
        <w:t>强化农业科技创新及推广人才队伍的关键支撑，深入开展农业科技入户工程，加快推广大豆、小麦等稳产增产和抗灾减灾先进适用技术，完善良种繁育技术体系，提高农业科技创新和转化能力。实施“科技增粮行动计划”，组织专题技术培训，指导农民科学安排品种、播期，调整生产布局，推广适应我区种植的品种。加快实施“互联网+”现代农业行动，加强互联网、大数据、物联网等新一代信息技术与现代农业生产、经营、服务领域等环节的有效对接，重点推进物联网射频识别(RFID)、3S技术、无线通信在粮食生产、畜禽水产养殖、农产品储运及质量安全追溯等领域的深度融合。推进信息进村入户，提升农民的信息应用技能。</w:t>
      </w:r>
    </w:p>
    <w:tbl>
      <w:tblPr>
        <w:tblStyle w:val="6"/>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8731" w:type="dxa"/>
            <w:noWrap w:val="0"/>
            <w:vAlign w:val="top"/>
          </w:tcPr>
          <w:p>
            <w:pPr>
              <w:spacing w:before="240" w:after="240"/>
              <w:jc w:val="center"/>
              <w:outlineLvl w:val="5"/>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专栏</w:t>
            </w:r>
            <w:r>
              <w:rPr>
                <w:rFonts w:ascii="仿宋_GB2312" w:hAnsi="仿宋" w:eastAsia="仿宋_GB2312" w:cs="仿宋"/>
                <w:b w:val="0"/>
                <w:bCs w:val="0"/>
                <w:sz w:val="24"/>
                <w:szCs w:val="24"/>
              </w:rPr>
              <w:t>8</w:t>
            </w:r>
            <w:r>
              <w:rPr>
                <w:rFonts w:hint="eastAsia" w:ascii="仿宋_GB2312" w:hAnsi="仿宋" w:eastAsia="仿宋_GB2312" w:cs="仿宋"/>
                <w:b w:val="0"/>
                <w:bCs w:val="0"/>
                <w:sz w:val="24"/>
                <w:szCs w:val="24"/>
              </w:rPr>
              <w:t xml:space="preserve"> 农田水利基础设施重点工程项目</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高标准农田建设项目。土壤改良、机电井、排水沟、喷灌设备、农田输配电、田间道路及防护林等。建设25万亩高标准农田。</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 xml:space="preserve">呼兰河河道水毁修复工程项目。呼兰河呼兰区段上游自泥河入河口，下游至呼兰河入松花江河口高地，对凹岸冲刷处进行沿河护岸防护、护岸建设。                             </w:t>
            </w:r>
          </w:p>
          <w:p>
            <w:pPr>
              <w:adjustRightInd w:val="0"/>
              <w:snapToGrid w:val="0"/>
              <w:rPr>
                <w:rFonts w:ascii="仿宋_GB2312" w:hAnsi="仿宋" w:eastAsia="仿宋_GB2312" w:cs="仿宋"/>
                <w:b w:val="0"/>
                <w:bCs w:val="0"/>
                <w:kern w:val="0"/>
                <w:sz w:val="24"/>
                <w:szCs w:val="24"/>
              </w:rPr>
            </w:pPr>
            <w:r>
              <w:rPr>
                <w:rFonts w:hint="eastAsia" w:ascii="仿宋_GB2312" w:hAnsi="仿宋" w:eastAsia="仿宋_GB2312" w:cs="仿宋"/>
                <w:b w:val="0"/>
                <w:bCs w:val="0"/>
                <w:kern w:val="0"/>
                <w:sz w:val="24"/>
                <w:szCs w:val="24"/>
              </w:rPr>
              <w:t>呼兰河河道护岸工程项目。</w:t>
            </w:r>
            <w:r>
              <w:rPr>
                <w:rFonts w:ascii="仿宋_GB2312" w:hAnsi="仿宋" w:eastAsia="仿宋_GB2312" w:cs="仿宋"/>
                <w:b w:val="0"/>
                <w:bCs w:val="0"/>
                <w:kern w:val="0"/>
                <w:sz w:val="24"/>
                <w:szCs w:val="24"/>
              </w:rPr>
              <w:t>新建左岸防护 12.773km，岸坡 1:2.0，抛石及格宾石笼护坡</w:t>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p>
          <w:p>
            <w:pPr>
              <w:adjustRightInd w:val="0"/>
              <w:snapToGrid w:val="0"/>
              <w:rPr>
                <w:rFonts w:ascii="仿宋_GB2312" w:hAnsi="仿宋" w:eastAsia="仿宋_GB2312" w:cs="仿宋"/>
                <w:b w:val="0"/>
                <w:bCs w:val="0"/>
                <w:kern w:val="0"/>
                <w:sz w:val="24"/>
                <w:szCs w:val="24"/>
              </w:rPr>
            </w:pPr>
            <w:r>
              <w:rPr>
                <w:rFonts w:hint="eastAsia" w:ascii="仿宋_GB2312" w:hAnsi="仿宋" w:eastAsia="仿宋_GB2312" w:cs="仿宋"/>
                <w:b w:val="0"/>
                <w:bCs w:val="0"/>
                <w:kern w:val="0"/>
                <w:sz w:val="24"/>
                <w:szCs w:val="24"/>
              </w:rPr>
              <w:t>泥南灌区续建配套与节水改造工程项目。</w:t>
            </w:r>
            <w:r>
              <w:rPr>
                <w:rFonts w:ascii="仿宋_GB2312" w:hAnsi="仿宋" w:eastAsia="仿宋_GB2312" w:cs="仿宋"/>
                <w:b w:val="0"/>
                <w:bCs w:val="0"/>
                <w:kern w:val="0"/>
                <w:sz w:val="24"/>
                <w:szCs w:val="24"/>
              </w:rPr>
              <w:t>续建配套与节水改造建设的主要任务包括完善工程体系，提高灌区治理能力，维修改造及防渗衬砌渠道1条，共长9.843km，配套分水闸20座。</w:t>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p>
          <w:p>
            <w:pPr>
              <w:adjustRightInd w:val="0"/>
              <w:snapToGrid w:val="0"/>
              <w:rPr>
                <w:rFonts w:ascii="仿宋_GB2312" w:hAnsi="仿宋" w:eastAsia="仿宋_GB2312" w:cs="仿宋"/>
                <w:b w:val="0"/>
                <w:bCs w:val="0"/>
                <w:kern w:val="0"/>
                <w:sz w:val="24"/>
                <w:szCs w:val="24"/>
              </w:rPr>
            </w:pPr>
            <w:r>
              <w:rPr>
                <w:rFonts w:ascii="仿宋_GB2312" w:hAnsi="仿宋" w:eastAsia="仿宋_GB2312" w:cs="仿宋"/>
                <w:b w:val="0"/>
                <w:bCs w:val="0"/>
                <w:kern w:val="0"/>
                <w:sz w:val="24"/>
                <w:szCs w:val="24"/>
              </w:rPr>
              <w:t>农村供水工程项目</w:t>
            </w:r>
            <w:r>
              <w:rPr>
                <w:rFonts w:hint="eastAsia" w:ascii="仿宋_GB2312" w:hAnsi="仿宋" w:eastAsia="仿宋_GB2312" w:cs="仿宋"/>
                <w:b w:val="0"/>
                <w:bCs w:val="0"/>
                <w:kern w:val="0"/>
                <w:sz w:val="24"/>
                <w:szCs w:val="24"/>
              </w:rPr>
              <w:t>。</w:t>
            </w:r>
            <w:r>
              <w:rPr>
                <w:rFonts w:ascii="仿宋_GB2312" w:hAnsi="仿宋" w:eastAsia="仿宋_GB2312" w:cs="仿宋"/>
                <w:b w:val="0"/>
                <w:bCs w:val="0"/>
                <w:kern w:val="0"/>
                <w:sz w:val="24"/>
                <w:szCs w:val="24"/>
              </w:rPr>
              <w:t>建设规模化供水工程3处，水源井12眼，供水厂3座，供水及消毒设备3套，计划投资4363.05万元。</w:t>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p>
          <w:p>
            <w:pPr>
              <w:adjustRightInd w:val="0"/>
              <w:snapToGrid w:val="0"/>
              <w:rPr>
                <w:rFonts w:ascii="仿宋_GB2312" w:hAnsi="仿宋" w:eastAsia="仿宋_GB2312" w:cs="仿宋"/>
                <w:b w:val="0"/>
                <w:bCs w:val="0"/>
                <w:kern w:val="0"/>
                <w:sz w:val="24"/>
                <w:szCs w:val="24"/>
              </w:rPr>
            </w:pPr>
            <w:r>
              <w:rPr>
                <w:rFonts w:hint="eastAsia" w:ascii="仿宋_GB2312" w:hAnsi="仿宋" w:eastAsia="仿宋_GB2312" w:cs="仿宋"/>
                <w:b w:val="0"/>
                <w:bCs w:val="0"/>
                <w:kern w:val="0"/>
                <w:sz w:val="24"/>
                <w:szCs w:val="24"/>
              </w:rPr>
              <w:t>涝区治理工程项目。</w:t>
            </w:r>
            <w:r>
              <w:rPr>
                <w:rFonts w:ascii="仿宋_GB2312" w:hAnsi="仿宋" w:eastAsia="仿宋_GB2312" w:cs="仿宋"/>
                <w:b w:val="0"/>
                <w:bCs w:val="0"/>
                <w:kern w:val="0"/>
                <w:sz w:val="24"/>
                <w:szCs w:val="24"/>
              </w:rPr>
              <w:t>孟家涝区进行既有排水沟道清淤扩建；布置骨干排水建筑物工程共99座，其中拆建桥梁30座、方涵64座和跌水5座；莲花涝区进行既有排水沟道清淤扩建；布置骨干排水建筑物工程共 24 座，其中拆建桥梁 7 座和方涵17座；腰堡涝区进行既有排水沟道清淤扩建；布置骨干排水建筑物工程共17座，其中拆建桥梁9座和方涵8座；漂河涝区进行既有排水沟道清淤扩建；布置骨干排水建筑物工程共50座，其中拆建桥梁14座、方涵26座和跌水10座。</w:t>
            </w:r>
            <w:r>
              <w:rPr>
                <w:rFonts w:ascii="仿宋_GB2312" w:hAnsi="仿宋" w:eastAsia="仿宋_GB2312" w:cs="仿宋"/>
                <w:b w:val="0"/>
                <w:bCs w:val="0"/>
                <w:kern w:val="0"/>
                <w:sz w:val="24"/>
                <w:szCs w:val="24"/>
              </w:rPr>
              <w:tab/>
            </w:r>
          </w:p>
          <w:p>
            <w:pPr>
              <w:adjustRightInd w:val="0"/>
              <w:snapToGrid w:val="0"/>
              <w:rPr>
                <w:rFonts w:ascii="仿宋_GB2312" w:hAnsi="仿宋" w:eastAsia="仿宋_GB2312" w:cs="仿宋"/>
                <w:b w:val="0"/>
                <w:bCs w:val="0"/>
                <w:kern w:val="0"/>
                <w:sz w:val="24"/>
                <w:szCs w:val="24"/>
              </w:rPr>
            </w:pPr>
            <w:r>
              <w:rPr>
                <w:rFonts w:hint="eastAsia" w:ascii="仿宋_GB2312" w:hAnsi="仿宋" w:eastAsia="仿宋_GB2312" w:cs="仿宋"/>
                <w:b w:val="0"/>
                <w:bCs w:val="0"/>
                <w:kern w:val="0"/>
                <w:sz w:val="24"/>
                <w:szCs w:val="24"/>
              </w:rPr>
              <w:t>数字农业应用推广基地建设项目。</w:t>
            </w:r>
            <w:r>
              <w:rPr>
                <w:rFonts w:ascii="仿宋_GB2312" w:hAnsi="仿宋" w:eastAsia="仿宋_GB2312" w:cs="仿宋"/>
                <w:b w:val="0"/>
                <w:bCs w:val="0"/>
                <w:kern w:val="0"/>
                <w:sz w:val="24"/>
                <w:szCs w:val="24"/>
              </w:rPr>
              <w:t>建设水旱田观测点（A）包括田间环境监测系统 、影像监测系统 、无线传输系统 设立 20个水旱田观测点。农业基础数据平台建设。农业园区数字化建设空中监测系统。</w:t>
            </w:r>
          </w:p>
          <w:p>
            <w:pPr>
              <w:adjustRightInd w:val="0"/>
              <w:snapToGrid w:val="0"/>
              <w:rPr>
                <w:rFonts w:ascii="仿宋_GB2312" w:hAnsi="仿宋" w:eastAsia="仿宋_GB2312" w:cs="仿宋"/>
                <w:b w:val="0"/>
                <w:bCs w:val="0"/>
                <w:kern w:val="0"/>
                <w:sz w:val="24"/>
                <w:szCs w:val="24"/>
              </w:rPr>
            </w:pPr>
            <w:r>
              <w:rPr>
                <w:rFonts w:hint="eastAsia" w:ascii="仿宋_GB2312" w:hAnsi="仿宋" w:eastAsia="仿宋_GB2312" w:cs="仿宋"/>
                <w:b w:val="0"/>
                <w:bCs w:val="0"/>
                <w:kern w:val="0"/>
                <w:sz w:val="24"/>
                <w:szCs w:val="24"/>
              </w:rPr>
              <w:t>温室大棚项目。</w:t>
            </w:r>
            <w:r>
              <w:rPr>
                <w:rFonts w:ascii="仿宋_GB2312" w:hAnsi="仿宋" w:eastAsia="仿宋_GB2312" w:cs="仿宋"/>
                <w:b w:val="0"/>
                <w:bCs w:val="0"/>
                <w:kern w:val="0"/>
                <w:sz w:val="24"/>
                <w:szCs w:val="24"/>
              </w:rPr>
              <w:t>利用电厂循环水余热，建设联栋温室大棚双拱节能日光温室</w:t>
            </w:r>
            <w:r>
              <w:rPr>
                <w:rFonts w:hint="eastAsia" w:ascii="仿宋_GB2312" w:hAnsi="仿宋" w:eastAsia="仿宋_GB2312" w:cs="仿宋"/>
                <w:b w:val="0"/>
                <w:bCs w:val="0"/>
                <w:kern w:val="0"/>
                <w:sz w:val="24"/>
                <w:szCs w:val="24"/>
              </w:rPr>
              <w:t>。</w:t>
            </w:r>
          </w:p>
          <w:p>
            <w:pPr>
              <w:adjustRightInd w:val="0"/>
              <w:snapToGrid w:val="0"/>
              <w:rPr>
                <w:rFonts w:ascii="仿宋_GB2312" w:hAnsi="仿宋" w:eastAsia="仿宋_GB2312" w:cs="仿宋"/>
                <w:b w:val="0"/>
                <w:bCs w:val="0"/>
                <w:kern w:val="0"/>
                <w:sz w:val="24"/>
                <w:szCs w:val="24"/>
              </w:rPr>
            </w:pPr>
            <w:r>
              <w:rPr>
                <w:rFonts w:hint="eastAsia" w:ascii="仿宋_GB2312" w:hAnsi="仿宋" w:eastAsia="仿宋_GB2312" w:cs="仿宋"/>
                <w:b w:val="0"/>
                <w:bCs w:val="0"/>
                <w:kern w:val="0"/>
                <w:sz w:val="24"/>
                <w:szCs w:val="24"/>
              </w:rPr>
              <w:t>长岭街道现代化农业产业园区。</w:t>
            </w:r>
            <w:r>
              <w:rPr>
                <w:rFonts w:ascii="仿宋_GB2312" w:hAnsi="仿宋" w:eastAsia="仿宋_GB2312" w:cs="仿宋"/>
                <w:b w:val="0"/>
                <w:bCs w:val="0"/>
                <w:kern w:val="0"/>
                <w:sz w:val="24"/>
                <w:szCs w:val="24"/>
              </w:rPr>
              <w:t>占地801600平方米，温室大棚201600平方米，蔬菜大棚48万平方米，设施用地120000平方米。建设高端水果温室采摘园，特色棚室蔬菜和相关配套设施</w:t>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p>
          <w:p>
            <w:pPr>
              <w:adjustRightInd w:val="0"/>
              <w:snapToGrid w:val="0"/>
              <w:rPr>
                <w:rFonts w:ascii="仿宋_GB2312" w:hAnsi="仿宋" w:eastAsia="仿宋_GB2312" w:cs="仿宋"/>
                <w:b w:val="0"/>
                <w:bCs w:val="0"/>
                <w:kern w:val="0"/>
                <w:sz w:val="24"/>
                <w:szCs w:val="24"/>
              </w:rPr>
            </w:pPr>
            <w:r>
              <w:rPr>
                <w:rFonts w:ascii="仿宋_GB2312" w:hAnsi="仿宋" w:eastAsia="仿宋_GB2312" w:cs="仿宋"/>
                <w:b w:val="0"/>
                <w:bCs w:val="0"/>
                <w:kern w:val="0"/>
                <w:sz w:val="24"/>
                <w:szCs w:val="24"/>
              </w:rPr>
              <w:t>2×1.5MW+1×1MW农林生物质热电联产项目</w:t>
            </w:r>
            <w:r>
              <w:rPr>
                <w:rFonts w:hint="eastAsia" w:ascii="仿宋_GB2312" w:hAnsi="仿宋" w:eastAsia="仿宋_GB2312" w:cs="仿宋"/>
                <w:b w:val="0"/>
                <w:bCs w:val="0"/>
                <w:kern w:val="0"/>
                <w:sz w:val="24"/>
                <w:szCs w:val="24"/>
              </w:rPr>
              <w:t>。</w:t>
            </w:r>
            <w:r>
              <w:rPr>
                <w:rFonts w:ascii="仿宋_GB2312" w:hAnsi="仿宋" w:eastAsia="仿宋_GB2312" w:cs="仿宋"/>
                <w:b w:val="0"/>
                <w:bCs w:val="0"/>
                <w:kern w:val="0"/>
                <w:sz w:val="24"/>
                <w:szCs w:val="24"/>
              </w:rPr>
              <w:t>建筑面积4.6万平方米，新建秸秆预处理池4座，一级秸秆厌氧发酵罐6座，二级秸秆厌氧发酵罐2座，设计年产沼气1460万立方米，新建2台装机规模1.5MW、1台装机规模1MW的热电联产机组</w:t>
            </w:r>
            <w:r>
              <w:rPr>
                <w:rFonts w:hint="eastAsia" w:ascii="仿宋_GB2312" w:hAnsi="仿宋" w:eastAsia="仿宋_GB2312" w:cs="仿宋"/>
                <w:b w:val="0"/>
                <w:bCs w:val="0"/>
                <w:kern w:val="0"/>
                <w:sz w:val="24"/>
                <w:szCs w:val="24"/>
              </w:rPr>
              <w:t>。</w:t>
            </w:r>
          </w:p>
          <w:p>
            <w:pPr>
              <w:adjustRightInd w:val="0"/>
              <w:snapToGrid w:val="0"/>
              <w:rPr>
                <w:rFonts w:ascii="仿宋_GB2312" w:hAnsi="仿宋" w:eastAsia="仿宋_GB2312" w:cs="仿宋"/>
                <w:b w:val="0"/>
                <w:bCs w:val="0"/>
                <w:kern w:val="0"/>
                <w:sz w:val="24"/>
                <w:szCs w:val="24"/>
              </w:rPr>
            </w:pPr>
            <w:r>
              <w:rPr>
                <w:rFonts w:hint="eastAsia" w:ascii="仿宋_GB2312" w:hAnsi="仿宋" w:eastAsia="仿宋_GB2312" w:cs="仿宋"/>
                <w:b w:val="0"/>
                <w:bCs w:val="0"/>
                <w:kern w:val="0"/>
                <w:sz w:val="24"/>
                <w:szCs w:val="24"/>
              </w:rPr>
              <w:t>生态农业产业项目。</w:t>
            </w:r>
            <w:r>
              <w:rPr>
                <w:rFonts w:ascii="仿宋_GB2312" w:hAnsi="仿宋" w:eastAsia="仿宋_GB2312" w:cs="仿宋"/>
                <w:b w:val="0"/>
                <w:bCs w:val="0"/>
                <w:kern w:val="0"/>
                <w:sz w:val="24"/>
                <w:szCs w:val="24"/>
              </w:rPr>
              <w:t>建筑面积1.6万平方米，主要建设屠宰场一座、加工厂一座、粮食深加工厂一座、冷库一座、冷链物流配送中心一座、养殖场五座、有机肥厂及饲料加工厂各一座、繁育基地一座</w:t>
            </w:r>
            <w:r>
              <w:rPr>
                <w:rFonts w:hint="eastAsia" w:ascii="仿宋_GB2312" w:hAnsi="仿宋" w:eastAsia="仿宋_GB2312" w:cs="仿宋"/>
                <w:b w:val="0"/>
                <w:bCs w:val="0"/>
                <w:kern w:val="0"/>
                <w:sz w:val="24"/>
                <w:szCs w:val="24"/>
              </w:rPr>
              <w:t>。</w:t>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r>
              <w:rPr>
                <w:rFonts w:ascii="仿宋_GB2312" w:hAnsi="仿宋" w:eastAsia="仿宋_GB2312" w:cs="仿宋"/>
                <w:b w:val="0"/>
                <w:bCs w:val="0"/>
                <w:kern w:val="0"/>
                <w:sz w:val="24"/>
                <w:szCs w:val="24"/>
              </w:rPr>
              <w:tab/>
            </w:r>
          </w:p>
        </w:tc>
      </w:tr>
    </w:tbl>
    <w:p>
      <w:pPr>
        <w:pStyle w:val="2"/>
        <w:rPr>
          <w:rFonts w:ascii="仿宋_GB2312" w:eastAsia="仿宋_GB2312"/>
          <w:b w:val="0"/>
          <w:bCs w:val="0"/>
        </w:rPr>
      </w:pP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32" w:name="_Toc7649"/>
      <w:r>
        <w:rPr>
          <w:rFonts w:hint="eastAsia" w:ascii="黑体" w:hAnsi="黑体" w:eastAsia="黑体" w:cs="仿宋"/>
          <w:b w:val="0"/>
          <w:bCs w:val="0"/>
          <w:sz w:val="32"/>
          <w:szCs w:val="32"/>
        </w:rPr>
        <w:t>第三节 着力实现农业生产组织现代化</w:t>
      </w:r>
      <w:bookmarkEnd w:id="32"/>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rPr>
      </w:pPr>
      <w:r>
        <w:rPr>
          <w:rFonts w:hint="eastAsia" w:ascii="楷体" w:hAnsi="楷体" w:eastAsia="楷体" w:cs="仿宋"/>
          <w:b w:val="0"/>
          <w:bCs w:val="0"/>
          <w:sz w:val="32"/>
          <w:szCs w:val="32"/>
        </w:rPr>
        <w:t>培育新型农业生产经营主体。</w:t>
      </w:r>
      <w:r>
        <w:rPr>
          <w:rFonts w:hint="eastAsia" w:ascii="仿宋_GB2312" w:hAnsi="仿宋" w:eastAsia="仿宋_GB2312" w:cs="仿宋"/>
          <w:b w:val="0"/>
          <w:bCs w:val="0"/>
          <w:kern w:val="0"/>
          <w:sz w:val="32"/>
          <w:szCs w:val="32"/>
        </w:rPr>
        <w:t>积极培育壮大农民专业合作社、家庭农场、种粮大户和农业社会化服务组织等新型农业生</w:t>
      </w:r>
      <w:r>
        <w:rPr>
          <w:rFonts w:hint="eastAsia" w:ascii="仿宋_GB2312" w:hAnsi="仿宋" w:eastAsia="仿宋_GB2312" w:cs="仿宋"/>
          <w:b w:val="0"/>
          <w:bCs w:val="0"/>
          <w:sz w:val="32"/>
          <w:szCs w:val="32"/>
        </w:rPr>
        <w:t>产经营主体。以合作社规模扩张与质量提升为目标，支持农民合作社创办实体企业，推动农产品标准化生产、商品化处理、品牌化销售</w:t>
      </w:r>
      <w:r>
        <w:rPr>
          <w:rFonts w:hint="eastAsia" w:ascii="仿宋_GB2312" w:hAnsi="仿宋" w:eastAsia="仿宋_GB2312" w:cs="仿宋"/>
          <w:b w:val="0"/>
          <w:bCs w:val="0"/>
          <w:kern w:val="0"/>
          <w:sz w:val="32"/>
          <w:szCs w:val="32"/>
        </w:rPr>
        <w:t>和产业化经营。</w:t>
      </w:r>
      <w:r>
        <w:rPr>
          <w:rFonts w:hint="eastAsia" w:ascii="仿宋_GB2312" w:hAnsi="仿宋" w:eastAsia="仿宋_GB2312" w:cs="仿宋"/>
          <w:b w:val="0"/>
          <w:bCs w:val="0"/>
          <w:sz w:val="32"/>
          <w:szCs w:val="32"/>
        </w:rPr>
        <w:t>支持专业</w:t>
      </w:r>
      <w:r>
        <w:rPr>
          <w:rFonts w:hint="eastAsia" w:ascii="仿宋_GB2312" w:hAnsi="仿宋" w:eastAsia="仿宋_GB2312" w:cs="仿宋"/>
          <w:b w:val="0"/>
          <w:bCs w:val="0"/>
          <w:kern w:val="0"/>
          <w:sz w:val="32"/>
          <w:szCs w:val="32"/>
        </w:rPr>
        <w:t>合作社</w:t>
      </w:r>
      <w:r>
        <w:rPr>
          <w:rFonts w:hint="eastAsia" w:ascii="仿宋_GB2312" w:hAnsi="仿宋" w:eastAsia="仿宋_GB2312" w:cs="仿宋"/>
          <w:b w:val="0"/>
          <w:bCs w:val="0"/>
          <w:sz w:val="32"/>
          <w:szCs w:val="32"/>
        </w:rPr>
        <w:t>通过土地流转、土地托管、土地入股等多种形式发展适度规模经营。</w:t>
      </w:r>
      <w:r>
        <w:rPr>
          <w:rFonts w:hint="eastAsia" w:ascii="仿宋_GB2312" w:hAnsi="仿宋" w:eastAsia="仿宋_GB2312" w:cs="仿宋"/>
          <w:b w:val="0"/>
          <w:bCs w:val="0"/>
          <w:kern w:val="0"/>
          <w:sz w:val="32"/>
          <w:szCs w:val="32"/>
        </w:rPr>
        <w:t>按照技术先进、效益突出、规模适度的标准，培育一批稳定发展、效益明显的家庭农场和种粮大户。</w:t>
      </w:r>
      <w:r>
        <w:rPr>
          <w:rFonts w:hint="eastAsia" w:ascii="仿宋_GB2312" w:hAnsi="仿宋" w:eastAsia="仿宋_GB2312" w:cs="仿宋"/>
          <w:b w:val="0"/>
          <w:bCs w:val="0"/>
          <w:sz w:val="32"/>
          <w:szCs w:val="32"/>
        </w:rPr>
        <w:t>切实抓好特色小微农产品加工主体培育。</w:t>
      </w:r>
      <w:r>
        <w:rPr>
          <w:rFonts w:hint="eastAsia" w:ascii="仿宋_GB2312" w:hAnsi="仿宋" w:eastAsia="仿宋_GB2312" w:cs="仿宋"/>
          <w:b w:val="0"/>
          <w:bCs w:val="0"/>
          <w:kern w:val="0"/>
          <w:sz w:val="32"/>
          <w:szCs w:val="32"/>
        </w:rPr>
        <w:t>扶持发展防汛抗旱专业队、专业技术协会、农民经纪人队伍。引导发展农民合作社联合社、省级合作社示范社。培育一批带动能力强的新型主体，全年新增合作社示范社2个、新培育家庭农场162个，打造高标准科技示范园区6个。提高农业机械化、水利化、科技化水平，有效降低农业生产综合成本。</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加强新型</w:t>
      </w:r>
      <w:bookmarkStart w:id="33" w:name="_Hlk48252319"/>
      <w:r>
        <w:rPr>
          <w:rFonts w:hint="eastAsia" w:ascii="楷体" w:hAnsi="楷体" w:eastAsia="楷体" w:cs="仿宋"/>
          <w:b w:val="0"/>
          <w:bCs w:val="0"/>
          <w:sz w:val="32"/>
          <w:szCs w:val="32"/>
        </w:rPr>
        <w:t>职业农民</w:t>
      </w:r>
      <w:bookmarkEnd w:id="33"/>
      <w:r>
        <w:rPr>
          <w:rFonts w:hint="eastAsia" w:ascii="楷体" w:hAnsi="楷体" w:eastAsia="楷体" w:cs="仿宋"/>
          <w:b w:val="0"/>
          <w:bCs w:val="0"/>
          <w:sz w:val="32"/>
          <w:szCs w:val="32"/>
        </w:rPr>
        <w:t>培育。</w:t>
      </w:r>
      <w:r>
        <w:rPr>
          <w:rFonts w:hint="eastAsia" w:ascii="仿宋_GB2312" w:hAnsi="仿宋" w:eastAsia="仿宋_GB2312" w:cs="仿宋"/>
          <w:b w:val="0"/>
          <w:bCs w:val="0"/>
          <w:sz w:val="32"/>
          <w:szCs w:val="32"/>
        </w:rPr>
        <w:t>加快建立健全教育培训、规范管理和政策扶持“三位一体”的新型职业农民培育体系，重点围绕农业教育、农民教育、农业生产、品牌创建、市场营销、企业管理、融资担保等领域，培育一批综合素质高、生产经营能力强、主体作用明显的新型职业农民。引导和鼓励农业龙头企业、农民合作社、农民专业技术协会等发挥自身优势参与教育培训工作。实现农业职业教育学校基地建设。</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健全农业社会化服务体系。</w:t>
      </w:r>
      <w:r>
        <w:rPr>
          <w:rFonts w:hint="eastAsia" w:ascii="仿宋_GB2312" w:hAnsi="仿宋" w:eastAsia="仿宋_GB2312" w:cs="仿宋"/>
          <w:b w:val="0"/>
          <w:bCs w:val="0"/>
          <w:sz w:val="32"/>
          <w:szCs w:val="32"/>
        </w:rPr>
        <w:t>实施农业社会化服务惠农工程，扩大农业生产全程社会化服务创新试点和政府购买公益性服务机制创新试点范围。创新农业社会化服务方式，支持新型农业经营主体开展代耕代种、联耕联种、统防统治、土地托管、代销代购、农机作业、储藏保鲜、粮食产后服务等社会化服务。采取政府订购、定向委托、奖励补助、招投标等方式，引导各类服务组织在农产品保鲜、贮运、加工、销售环节以及金融保险、信息服务等方面发挥更大作用。探索创新农业公益性服务供给机制和实现形式，加强基层农技推广、植保植检、农产品质量安全监管、疫病防控等能力建设。强化合作社和供销社开展“两社融合”试点，拓展供销合作社在土地托管、农村合作金融、农村电子商务等方面的经营服务领域。</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34" w:name="_Toc12818"/>
      <w:r>
        <w:rPr>
          <w:rFonts w:hint="eastAsia" w:ascii="黑体" w:hAnsi="黑体" w:eastAsia="黑体" w:cs="仿宋"/>
          <w:b w:val="0"/>
          <w:bCs w:val="0"/>
          <w:sz w:val="32"/>
          <w:szCs w:val="32"/>
        </w:rPr>
        <w:t>第四节 构建呼兰现代都市农业</w:t>
      </w:r>
      <w:r>
        <w:rPr>
          <w:rFonts w:hint="eastAsia" w:ascii="黑体" w:hAnsi="黑体" w:eastAsia="黑体" w:cs="仿宋"/>
          <w:b w:val="0"/>
          <w:bCs w:val="0"/>
          <w:sz w:val="32"/>
          <w:szCs w:val="32"/>
          <w:lang w:val="en-US" w:eastAsia="zh-CN"/>
        </w:rPr>
        <w:t xml:space="preserve"> </w:t>
      </w:r>
      <w:r>
        <w:rPr>
          <w:rFonts w:hint="eastAsia" w:ascii="黑体" w:hAnsi="黑体" w:eastAsia="黑体" w:cs="仿宋"/>
          <w:b w:val="0"/>
          <w:bCs w:val="0"/>
          <w:sz w:val="32"/>
          <w:szCs w:val="32"/>
        </w:rPr>
        <w:t>促进三产融合</w:t>
      </w:r>
      <w:bookmarkEnd w:id="34"/>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大力发展都市农业，以休闲农业和农业旅游相结合，保障全市居民“菜篮子”有效供给，全力打造特色农产品集群产业带。以腰堡、方台、杨林、二八等沿江乡镇街道为重点，以腰堡堤防站渔港码头为核心，打造沿江旅游观光带；以鼎旭农业为依托，以哈肇路主干线两侧村屯为重点</w:t>
      </w:r>
      <w:r>
        <w:rPr>
          <w:rFonts w:ascii="仿宋_GB2312" w:hAnsi="仿宋" w:eastAsia="仿宋_GB2312" w:cs="仿宋"/>
          <w:b w:val="0"/>
          <w:bCs w:val="0"/>
          <w:sz w:val="32"/>
          <w:szCs w:val="32"/>
        </w:rPr>
        <w:t>，</w:t>
      </w:r>
      <w:r>
        <w:rPr>
          <w:rFonts w:hint="eastAsia" w:ascii="仿宋_GB2312" w:hAnsi="仿宋" w:eastAsia="仿宋_GB2312" w:cs="仿宋"/>
          <w:b w:val="0"/>
          <w:bCs w:val="0"/>
          <w:sz w:val="32"/>
          <w:szCs w:val="32"/>
        </w:rPr>
        <w:t>打造无公害蔬菜产业带，加快传统农业向智慧农业转型；以长白路方向两侧村屯</w:t>
      </w:r>
      <w:r>
        <w:rPr>
          <w:rFonts w:ascii="仿宋_GB2312" w:hAnsi="仿宋" w:eastAsia="仿宋_GB2312" w:cs="仿宋"/>
          <w:b w:val="0"/>
          <w:bCs w:val="0"/>
          <w:sz w:val="32"/>
          <w:szCs w:val="32"/>
        </w:rPr>
        <w:t>为重点</w:t>
      </w:r>
      <w:r>
        <w:rPr>
          <w:rFonts w:hint="eastAsia" w:ascii="仿宋_GB2312" w:hAnsi="仿宋" w:eastAsia="仿宋_GB2312" w:cs="仿宋"/>
          <w:b w:val="0"/>
          <w:bCs w:val="0"/>
          <w:sz w:val="32"/>
          <w:szCs w:val="32"/>
        </w:rPr>
        <w:t>，打造鲜食玉米绿色玉米大基地；以长莲路方向两侧村屯</w:t>
      </w:r>
      <w:r>
        <w:rPr>
          <w:rFonts w:ascii="仿宋_GB2312" w:hAnsi="仿宋" w:eastAsia="仿宋_GB2312" w:cs="仿宋"/>
          <w:b w:val="0"/>
          <w:bCs w:val="0"/>
          <w:sz w:val="32"/>
          <w:szCs w:val="32"/>
        </w:rPr>
        <w:t>为重点</w:t>
      </w:r>
      <w:r>
        <w:rPr>
          <w:rFonts w:hint="eastAsia" w:ascii="仿宋_GB2312" w:hAnsi="仿宋" w:eastAsia="仿宋_GB2312" w:cs="仿宋"/>
          <w:b w:val="0"/>
          <w:bCs w:val="0"/>
          <w:sz w:val="32"/>
          <w:szCs w:val="32"/>
        </w:rPr>
        <w:t>，打造畜牧养殖加工产业带。强化产业融合，引导呼兰农业向特色化、精细化、标准化的方向转变。</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hint="eastAsia" w:ascii="黑体" w:hAnsi="黑体" w:eastAsia="黑体" w:cs="仿宋"/>
          <w:b w:val="0"/>
          <w:bCs w:val="0"/>
          <w:sz w:val="32"/>
          <w:szCs w:val="32"/>
        </w:rPr>
      </w:pPr>
      <w:bookmarkStart w:id="35" w:name="_Toc28387"/>
      <w:r>
        <w:rPr>
          <w:rFonts w:hint="eastAsia" w:ascii="黑体" w:hAnsi="黑体" w:eastAsia="黑体" w:cs="仿宋"/>
          <w:b w:val="0"/>
          <w:bCs w:val="0"/>
          <w:sz w:val="32"/>
          <w:szCs w:val="32"/>
        </w:rPr>
        <w:t>第七章 完善主体功能管控</w:t>
      </w:r>
      <w:r>
        <w:rPr>
          <w:rFonts w:hint="eastAsia" w:ascii="黑体" w:hAnsi="黑体" w:eastAsia="黑体" w:cs="仿宋"/>
          <w:b w:val="0"/>
          <w:bCs w:val="0"/>
          <w:sz w:val="32"/>
          <w:szCs w:val="32"/>
          <w:lang w:val="en-US" w:eastAsia="zh-CN"/>
        </w:rPr>
        <w:t xml:space="preserve">  </w:t>
      </w:r>
      <w:r>
        <w:rPr>
          <w:rFonts w:hint="eastAsia" w:ascii="黑体" w:hAnsi="黑体" w:eastAsia="黑体" w:cs="仿宋"/>
          <w:b w:val="0"/>
          <w:bCs w:val="0"/>
          <w:sz w:val="32"/>
          <w:szCs w:val="32"/>
        </w:rPr>
        <w:t>建设城乡联动发展体系</w:t>
      </w:r>
      <w:bookmarkEnd w:id="35"/>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在哈尔滨主体功能区划框架下，根据呼兰资源与环境的自然与经济属性，划定城镇化地区、农产品主产区、生态功能区三大空间格局，明确各空间单元发展方向。构建</w:t>
      </w:r>
      <w:r>
        <w:rPr>
          <w:rFonts w:hint="eastAsia" w:ascii="仿宋_GB2312" w:hAnsi="仿宋" w:eastAsia="仿宋_GB2312" w:cs="宋体"/>
          <w:b w:val="0"/>
          <w:bCs w:val="0"/>
          <w:sz w:val="32"/>
          <w:szCs w:val="32"/>
        </w:rPr>
        <w:t>“一核四轴、多点辐射、全域繁荣”</w:t>
      </w:r>
      <w:r>
        <w:rPr>
          <w:rFonts w:hint="eastAsia" w:ascii="仿宋_GB2312" w:hAnsi="仿宋" w:eastAsia="仿宋_GB2312" w:cs="仿宋"/>
          <w:b w:val="0"/>
          <w:bCs w:val="0"/>
          <w:sz w:val="32"/>
          <w:szCs w:val="32"/>
        </w:rPr>
        <w:t>的整体空间格局,全面融入哈尔滨大都市圈。</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36" w:name="_Toc20919"/>
      <w:r>
        <w:rPr>
          <w:rFonts w:hint="eastAsia" w:ascii="黑体" w:hAnsi="黑体" w:eastAsia="黑体" w:cs="仿宋"/>
          <w:b w:val="0"/>
          <w:bCs w:val="0"/>
          <w:sz w:val="32"/>
          <w:szCs w:val="32"/>
        </w:rPr>
        <w:t>第一节 构建国土空间开发保护新格局</w:t>
      </w:r>
      <w:bookmarkEnd w:id="36"/>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城镇化格局。</w:t>
      </w:r>
      <w:r>
        <w:rPr>
          <w:rFonts w:hint="eastAsia" w:ascii="仿宋_GB2312" w:hAnsi="仿宋" w:eastAsia="仿宋_GB2312" w:cs="仿宋"/>
          <w:b w:val="0"/>
          <w:bCs w:val="0"/>
          <w:sz w:val="32"/>
          <w:szCs w:val="32"/>
        </w:rPr>
        <w:t>做好老城区、呼兰经开区、乡镇产业园等产业发展空间安排，促进一、二、三产业融合发展。明确产业发展方向，强调负面清单，引导产业空间高效集聚利用，推动城乡融合发展。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农业发展格局。</w:t>
      </w:r>
      <w:r>
        <w:rPr>
          <w:rFonts w:hint="eastAsia" w:ascii="仿宋_GB2312" w:hAnsi="仿宋" w:eastAsia="仿宋_GB2312" w:cs="仿宋"/>
          <w:b w:val="0"/>
          <w:bCs w:val="0"/>
          <w:sz w:val="32"/>
          <w:szCs w:val="32"/>
        </w:rPr>
        <w:t>落实腰堡、双井街道及方台、二八镇永久基本农田保护政策，任何单位和个人不得擅自改变用途。着力加强耕地数量、质量、生态“三位一体”保护，从严控制各项建设占用耕地。同时要统筹耕地和其他农用地的空间分布，优化农用地空间格局。</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eastAsia="仿宋_GB2312"/>
          <w:b w:val="0"/>
          <w:bCs w:val="0"/>
          <w:sz w:val="32"/>
          <w:szCs w:val="32"/>
        </w:rPr>
      </w:pPr>
      <w:r>
        <w:rPr>
          <w:rFonts w:hint="eastAsia" w:ascii="楷体" w:hAnsi="楷体" w:eastAsia="楷体" w:cs="仿宋"/>
          <w:b w:val="0"/>
          <w:bCs w:val="0"/>
          <w:sz w:val="32"/>
          <w:szCs w:val="32"/>
        </w:rPr>
        <w:t>生态安全格局。</w:t>
      </w:r>
      <w:r>
        <w:rPr>
          <w:rFonts w:hint="eastAsia" w:ascii="仿宋_GB2312" w:hAnsi="仿宋" w:eastAsia="仿宋_GB2312"/>
          <w:b w:val="0"/>
          <w:bCs w:val="0"/>
          <w:sz w:val="32"/>
          <w:szCs w:val="32"/>
        </w:rPr>
        <w:t>进一步完善松花江、呼兰河、少陵河、漂河流域“一江多河”的生态保育功能，以呼兰河湿地保护区、松花江湿地保护区、呼兰区饮用水水源保护区为核心划定生态空间。以保护和修复域内</w:t>
      </w:r>
      <w:r>
        <w:rPr>
          <w:rFonts w:ascii="仿宋_GB2312" w:hAnsi="仿宋" w:eastAsia="仿宋_GB2312"/>
          <w:b w:val="0"/>
          <w:bCs w:val="0"/>
          <w:sz w:val="32"/>
          <w:szCs w:val="32"/>
        </w:rPr>
        <w:t>江河</w:t>
      </w:r>
      <w:r>
        <w:rPr>
          <w:rFonts w:hint="eastAsia" w:ascii="仿宋_GB2312" w:hAnsi="仿宋" w:eastAsia="仿宋_GB2312"/>
          <w:b w:val="0"/>
          <w:bCs w:val="0"/>
          <w:sz w:val="32"/>
          <w:szCs w:val="32"/>
        </w:rPr>
        <w:t>流域生态功能为前提，推进呼兰河水系绿廊、松花江北岸滨水景观建设，推动江、岸、城融合，形成沿江百里四个乡（镇）</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街道一体化发展的新格局。</w:t>
      </w:r>
      <w:r>
        <w:rPr>
          <w:rFonts w:hint="eastAsia" w:ascii="仿宋_GB2312" w:hAnsi="仿宋" w:eastAsia="仿宋_GB2312" w:cs="仿宋"/>
          <w:b w:val="0"/>
          <w:bCs w:val="0"/>
          <w:sz w:val="32"/>
          <w:szCs w:val="32"/>
        </w:rPr>
        <w:t>积极落实生态保护红线，将具有水源涵养、生物多样性维护、水土保护、防风固沙、江河沿岸生态稳定等生态功能极重要区域和生态遭严重破坏的生态极敏感区脆弱区优先划入生态空间。统筹山水林田湖草系统修复，提升河湖、湿地等生态系统服务能力，制定呼兰国土空间整治和生态修复项目规划。</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37" w:name="_Toc3347"/>
      <w:r>
        <w:rPr>
          <w:rFonts w:hint="eastAsia" w:ascii="黑体" w:hAnsi="黑体" w:eastAsia="黑体" w:cs="仿宋"/>
          <w:b w:val="0"/>
          <w:bCs w:val="0"/>
          <w:sz w:val="32"/>
          <w:szCs w:val="32"/>
        </w:rPr>
        <w:t>第二节 走好城乡融合发展之路</w:t>
      </w:r>
      <w:bookmarkEnd w:id="37"/>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全面融入哈尔滨都市圈。</w:t>
      </w:r>
      <w:r>
        <w:rPr>
          <w:rFonts w:hint="eastAsia" w:ascii="仿宋_GB2312" w:hAnsi="仿宋" w:eastAsia="仿宋_GB2312" w:cs="仿宋"/>
          <w:b w:val="0"/>
          <w:bCs w:val="0"/>
          <w:sz w:val="32"/>
          <w:szCs w:val="32"/>
        </w:rPr>
        <w:t>与呼兰新时期新形势新任务相适应、与哈尔滨都市功能相匹配，积极对接哈大一体化、哈长城市群建设，力争全方位对接、各领域融入。扎实推进呼兰区国土空间规划，融入全市“一张图”管理、“一盘棋”建设、“一体化”发展。加强互联互通，着力构建同城化交通网络，打开对接融入的“快捷通道”。</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优化城乡空间融合新格局。</w:t>
      </w:r>
      <w:r>
        <w:rPr>
          <w:rFonts w:hint="eastAsia" w:ascii="仿宋_GB2312" w:hAnsi="仿宋" w:eastAsia="仿宋_GB2312" w:cs="仿宋"/>
          <w:b w:val="0"/>
          <w:bCs w:val="0"/>
          <w:sz w:val="32"/>
          <w:szCs w:val="32"/>
        </w:rPr>
        <w:t>构建“一核四轴、多点辐射、全域繁荣”的整体格局。“一核”以新建的省级经济开发区为增长极，带动整个呼兰区的经济社会发展；“四轴”沿呼兰河松花江、哈肇路、呼白路、哈伊公路形成四个辐射轴，沿呼兰河松花江辐射轴打造特色文化旅游带，沿哈肇路、呼白路、哈伊公路辐射轴打造都市农业带，将哈尔滨新区、呼兰经济开发区的增长效应向外扩散，串联工业集聚区、都市农业区和休闲旅游区；“多点辐射、全域繁荣”以呼兰经济开发区为第一层级，大用镇、康金街道、沈家街道、二八镇等特色风情小镇为第二层级，立业村、护路村、大罗村、鲍堡村等美丽宜居乡村为第三层级的经济增长辐射节点，逐步实现城乡共同富裕的发展目标。</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实现城乡公共服务融合发展。</w:t>
      </w:r>
      <w:r>
        <w:rPr>
          <w:rFonts w:hint="eastAsia" w:ascii="仿宋_GB2312" w:hAnsi="仿宋" w:eastAsia="仿宋_GB2312" w:cs="仿宋"/>
          <w:b w:val="0"/>
          <w:bCs w:val="0"/>
          <w:sz w:val="32"/>
          <w:szCs w:val="32"/>
        </w:rPr>
        <w:t>建立健全城乡教育资源均衡配置、乡村医疗卫生服务体系、城乡公共文化服务体系、城乡统一社会保险制度、城乡社会救助体系、城乡路网统一规划建设等具体措施。大力发展农村幼儿园建设、积极构建城乡教育融合发展新规划。有效解决农村基础设施和公共服务设施发展不均衡不充分问题，推动形成城乡融合与协调发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实施美丽乡村建设行动。</w:t>
      </w:r>
      <w:r>
        <w:rPr>
          <w:rFonts w:hint="eastAsia" w:ascii="仿宋_GB2312" w:hAnsi="仿宋" w:eastAsia="仿宋_GB2312" w:cs="仿宋"/>
          <w:b w:val="0"/>
          <w:bCs w:val="0"/>
          <w:sz w:val="32"/>
          <w:szCs w:val="32"/>
        </w:rPr>
        <w:t>加快补齐乡村建设突出短板，精心打造一批特色各具、风貌各异的风情名镇、生态美镇。重点抓好农村交通运输、农田水利、农村饮水、乡村物流等基础设施建设。合理布局美丽乡村建设规划，改善农村人居环境，提升村容村貌。关注乡村文化的保护与发掘，修复农村文化延续的断层。集约建设现代化数字乡村治理平台，实现乡村产业、人才、文化、生态、组织的全面振兴。</w:t>
      </w:r>
    </w:p>
    <w:tbl>
      <w:tblPr>
        <w:tblStyle w:val="6"/>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8731" w:type="dxa"/>
            <w:noWrap w:val="0"/>
            <w:vAlign w:val="top"/>
          </w:tcPr>
          <w:p>
            <w:pPr>
              <w:spacing w:before="240" w:after="240"/>
              <w:jc w:val="center"/>
              <w:outlineLvl w:val="5"/>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专栏</w:t>
            </w:r>
            <w:r>
              <w:rPr>
                <w:rFonts w:ascii="仿宋_GB2312" w:hAnsi="仿宋" w:eastAsia="仿宋_GB2312" w:cs="仿宋"/>
                <w:b w:val="0"/>
                <w:bCs w:val="0"/>
                <w:sz w:val="24"/>
                <w:szCs w:val="24"/>
              </w:rPr>
              <w:t xml:space="preserve">9 </w:t>
            </w:r>
            <w:r>
              <w:rPr>
                <w:rFonts w:hint="eastAsia" w:ascii="仿宋_GB2312" w:hAnsi="仿宋" w:eastAsia="仿宋_GB2312" w:cs="仿宋"/>
                <w:b w:val="0"/>
                <w:bCs w:val="0"/>
                <w:sz w:val="24"/>
                <w:szCs w:val="24"/>
              </w:rPr>
              <w:t>美丽乡村建设重点工程项目</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康金街道硬化道路项目。</w:t>
            </w:r>
            <w:r>
              <w:rPr>
                <w:rFonts w:ascii="仿宋_GB2312" w:hAnsi="仿宋" w:eastAsia="仿宋_GB2312" w:cs="仿宋"/>
                <w:b w:val="0"/>
                <w:bCs w:val="0"/>
                <w:sz w:val="24"/>
                <w:szCs w:val="24"/>
              </w:rPr>
              <w:t>改造道路，铺装黑色路面5600米，新建道路7100米，铺装路边石、步道板。</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康金街道供水项目。</w:t>
            </w:r>
            <w:r>
              <w:rPr>
                <w:rFonts w:ascii="仿宋_GB2312" w:hAnsi="仿宋" w:eastAsia="仿宋_GB2312" w:cs="仿宋"/>
                <w:b w:val="0"/>
                <w:bCs w:val="0"/>
                <w:sz w:val="24"/>
                <w:szCs w:val="24"/>
              </w:rPr>
              <w:t>升级改造供水设施，自来水并网，涉及13000户</w:t>
            </w:r>
            <w:r>
              <w:rPr>
                <w:rFonts w:hint="eastAsia" w:ascii="仿宋_GB2312" w:hAnsi="仿宋" w:eastAsia="仿宋_GB2312" w:cs="仿宋"/>
                <w:b w:val="0"/>
                <w:bCs w:val="0"/>
                <w:sz w:val="24"/>
                <w:szCs w:val="24"/>
              </w:rPr>
              <w:t>。</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康金街道排水项目。新</w:t>
            </w:r>
            <w:r>
              <w:rPr>
                <w:rFonts w:ascii="仿宋_GB2312" w:hAnsi="仿宋" w:eastAsia="仿宋_GB2312" w:cs="仿宋"/>
                <w:b w:val="0"/>
                <w:bCs w:val="0"/>
                <w:sz w:val="24"/>
                <w:szCs w:val="24"/>
              </w:rPr>
              <w:t>建排水8050米</w:t>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康金街道路灯项目。</w:t>
            </w:r>
            <w:r>
              <w:rPr>
                <w:rFonts w:ascii="仿宋_GB2312" w:hAnsi="仿宋" w:eastAsia="仿宋_GB2312" w:cs="仿宋"/>
                <w:b w:val="0"/>
                <w:bCs w:val="0"/>
                <w:sz w:val="24"/>
                <w:szCs w:val="24"/>
              </w:rPr>
              <w:t>改造、新安装路灯500盏</w:t>
            </w:r>
            <w:r>
              <w:rPr>
                <w:rFonts w:hint="eastAsia" w:ascii="仿宋_GB2312" w:hAnsi="仿宋" w:eastAsia="仿宋_GB2312" w:cs="仿宋"/>
                <w:b w:val="0"/>
                <w:bCs w:val="0"/>
                <w:sz w:val="24"/>
                <w:szCs w:val="24"/>
              </w:rPr>
              <w:t>。</w:t>
            </w:r>
          </w:p>
          <w:p>
            <w:pPr>
              <w:pStyle w:val="9"/>
              <w:rPr>
                <w:rFonts w:ascii="仿宋_GB2312" w:hAnsi="仿宋" w:eastAsia="仿宋_GB2312" w:cs="仿宋"/>
                <w:b w:val="0"/>
                <w:bCs w:val="0"/>
                <w:kern w:val="0"/>
                <w:sz w:val="24"/>
                <w:szCs w:val="24"/>
              </w:rPr>
            </w:pPr>
            <w:r>
              <w:rPr>
                <w:rFonts w:hint="eastAsia" w:ascii="仿宋_GB2312" w:hAnsi="仿宋" w:eastAsia="仿宋_GB2312" w:cs="仿宋"/>
                <w:b w:val="0"/>
                <w:bCs w:val="0"/>
                <w:sz w:val="24"/>
                <w:szCs w:val="24"/>
              </w:rPr>
              <w:t>平改立项目。</w:t>
            </w:r>
          </w:p>
        </w:tc>
      </w:tr>
    </w:tbl>
    <w:p>
      <w:pPr>
        <w:pStyle w:val="2"/>
        <w:rPr>
          <w:b w:val="0"/>
          <w:bCs w:val="0"/>
        </w:rPr>
      </w:pPr>
    </w:p>
    <w:p>
      <w:pPr>
        <w:keepNext w:val="0"/>
        <w:keepLines w:val="0"/>
        <w:pageBreakBefore w:val="0"/>
        <w:widowControl w:val="0"/>
        <w:kinsoku/>
        <w:wordWrap/>
        <w:overflowPunct/>
        <w:topLinePunct w:val="0"/>
        <w:bidi w:val="0"/>
        <w:adjustRightInd/>
        <w:snapToGrid/>
        <w:spacing w:line="600" w:lineRule="atLeast"/>
        <w:jc w:val="center"/>
        <w:textAlignment w:val="auto"/>
        <w:outlineLvl w:val="1"/>
        <w:rPr>
          <w:rFonts w:ascii="黑体" w:hAnsi="黑体" w:eastAsia="黑体" w:cs="仿宋"/>
          <w:b w:val="0"/>
          <w:bCs w:val="0"/>
          <w:sz w:val="32"/>
          <w:szCs w:val="32"/>
        </w:rPr>
      </w:pPr>
      <w:bookmarkStart w:id="38" w:name="_Toc24680"/>
      <w:r>
        <w:rPr>
          <w:rFonts w:hint="eastAsia" w:ascii="黑体" w:hAnsi="黑体" w:eastAsia="黑体" w:cs="仿宋"/>
          <w:b w:val="0"/>
          <w:bCs w:val="0"/>
          <w:sz w:val="32"/>
          <w:szCs w:val="32"/>
        </w:rPr>
        <w:t>第三节 打造全市生态宜居宜业新城区</w:t>
      </w:r>
      <w:bookmarkEnd w:id="38"/>
    </w:p>
    <w:p>
      <w:pPr>
        <w:keepNext w:val="0"/>
        <w:keepLines w:val="0"/>
        <w:pageBreakBefore w:val="0"/>
        <w:widowControl w:val="0"/>
        <w:kinsoku/>
        <w:wordWrap/>
        <w:overflowPunct/>
        <w:topLinePunct w:val="0"/>
        <w:autoSpaceDE w:val="0"/>
        <w:autoSpaceDN w:val="0"/>
        <w:bidi w:val="0"/>
        <w:adjustRightInd/>
        <w:snapToGrid/>
        <w:spacing w:line="600" w:lineRule="atLeast"/>
        <w:ind w:firstLine="640" w:firstLineChars="200"/>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规划建设呼兰成为现代化生态宜居新城。</w:t>
      </w:r>
      <w:r>
        <w:rPr>
          <w:rFonts w:hint="eastAsia" w:ascii="仿宋_GB2312" w:hAnsi="仿宋" w:eastAsia="仿宋_GB2312" w:cs="仿宋"/>
          <w:b w:val="0"/>
          <w:bCs w:val="0"/>
          <w:sz w:val="32"/>
          <w:szCs w:val="32"/>
        </w:rPr>
        <w:t>推动呼兰作为哈尔滨四大组团之一建设，改善城区环境，以哈依铁路、哈依高速、哈肇公路、呼兰河等生态廊道的自然分割，推进呼兰老城区组团式发展，实现每个组团的混合功能，实现各个组团间的快速通达，打造生态宜居的现代化新城。</w:t>
      </w:r>
    </w:p>
    <w:p>
      <w:pPr>
        <w:keepNext w:val="0"/>
        <w:keepLines w:val="0"/>
        <w:pageBreakBefore w:val="0"/>
        <w:widowControl w:val="0"/>
        <w:kinsoku/>
        <w:wordWrap/>
        <w:overflowPunct/>
        <w:topLinePunct w:val="0"/>
        <w:autoSpaceDE w:val="0"/>
        <w:autoSpaceDN w:val="0"/>
        <w:bidi w:val="0"/>
        <w:adjustRightInd/>
        <w:snapToGrid/>
        <w:spacing w:line="600" w:lineRule="atLeast"/>
        <w:ind w:firstLine="640" w:firstLineChars="200"/>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实施老城区城市更新行动。</w:t>
      </w:r>
      <w:r>
        <w:rPr>
          <w:rFonts w:hint="eastAsia" w:ascii="仿宋_GB2312" w:hAnsi="仿宋" w:eastAsia="仿宋_GB2312" w:cs="仿宋"/>
          <w:b w:val="0"/>
          <w:bCs w:val="0"/>
          <w:sz w:val="32"/>
          <w:szCs w:val="32"/>
        </w:rPr>
        <w:t>重构呼兰老城区发展“新功能”，打造老城区空间“新意境”。完善老城区空间结构，实施生态修复和功能完善工程。强化历史文化保护，深度挖掘呼兰沿江历史老街肌理与文脉，重塑历史脉络，激活老城活力。打通呼兰河生态廊道，重建生态景观网络。通过城市更新，加强城市风貌建设，整体规划城市建筑风格，重点突出呼兰</w:t>
      </w:r>
      <w:r>
        <w:rPr>
          <w:rFonts w:ascii="仿宋_GB2312" w:hAnsi="仿宋" w:eastAsia="仿宋_GB2312" w:cs="仿宋"/>
          <w:b w:val="0"/>
          <w:bCs w:val="0"/>
          <w:sz w:val="32"/>
          <w:szCs w:val="32"/>
        </w:rPr>
        <w:t>历史文化名城</w:t>
      </w:r>
      <w:r>
        <w:rPr>
          <w:rFonts w:hint="eastAsia" w:ascii="仿宋_GB2312" w:hAnsi="仿宋" w:eastAsia="仿宋_GB2312" w:cs="仿宋"/>
          <w:b w:val="0"/>
          <w:bCs w:val="0"/>
          <w:sz w:val="32"/>
          <w:szCs w:val="32"/>
        </w:rPr>
        <w:t>特色，展现老城区文化魅力和绿色生态潜力，营造具有呼兰传统与地域文化特色的城市。加强城镇老旧小区改造，探索老旧小区联合开发，加强居住社区建设，推进以老城区为重要载体的城镇化建设。</w:t>
      </w:r>
    </w:p>
    <w:p>
      <w:pPr>
        <w:keepNext w:val="0"/>
        <w:keepLines w:val="0"/>
        <w:pageBreakBefore w:val="0"/>
        <w:widowControl w:val="0"/>
        <w:kinsoku/>
        <w:wordWrap/>
        <w:overflowPunct/>
        <w:topLinePunct w:val="0"/>
        <w:autoSpaceDE w:val="0"/>
        <w:autoSpaceDN w:val="0"/>
        <w:bidi w:val="0"/>
        <w:adjustRightInd/>
        <w:snapToGrid/>
        <w:spacing w:line="600" w:lineRule="atLeast"/>
        <w:ind w:firstLine="640" w:firstLineChars="200"/>
        <w:textAlignment w:val="auto"/>
        <w:rPr>
          <w:rFonts w:ascii="仿宋_GB2312" w:hAnsi="仿宋" w:eastAsia="仿宋_GB2312" w:cs="仿宋"/>
          <w:b w:val="0"/>
          <w:bCs w:val="0"/>
          <w:sz w:val="32"/>
          <w:szCs w:val="32"/>
        </w:rPr>
      </w:pPr>
      <w:bookmarkStart w:id="39" w:name="_Toc58440969"/>
      <w:r>
        <w:rPr>
          <w:rFonts w:hint="eastAsia" w:ascii="楷体" w:hAnsi="楷体" w:eastAsia="楷体" w:cs="仿宋"/>
          <w:b w:val="0"/>
          <w:bCs w:val="0"/>
          <w:sz w:val="32"/>
          <w:szCs w:val="32"/>
        </w:rPr>
        <w:t>完善城市生活设施配套建设。</w:t>
      </w:r>
      <w:bookmarkEnd w:id="39"/>
      <w:r>
        <w:rPr>
          <w:rFonts w:hint="eastAsia" w:ascii="仿宋_GB2312" w:hAnsi="仿宋" w:eastAsia="仿宋_GB2312" w:cs="仿宋"/>
          <w:b w:val="0"/>
          <w:bCs w:val="0"/>
          <w:sz w:val="32"/>
          <w:szCs w:val="32"/>
        </w:rPr>
        <w:t>加大城市基础设施改造力度和市政管网建设，健全社区公共服务设施，提升社区服务功能。加快城乡环卫一体化进程。推进智慧城市建设，构建现代化公共服务体系，完善智能的城市公共安全体系和安全生产体系，建设安全生产综合监管信息化平台。加快发展新基建，推动5G基站在老城区和重点乡镇全覆盖。</w:t>
      </w:r>
    </w:p>
    <w:p>
      <w:pPr>
        <w:keepNext w:val="0"/>
        <w:keepLines w:val="0"/>
        <w:pageBreakBefore w:val="0"/>
        <w:widowControl w:val="0"/>
        <w:kinsoku/>
        <w:wordWrap/>
        <w:overflowPunct/>
        <w:topLinePunct w:val="0"/>
        <w:autoSpaceDE w:val="0"/>
        <w:autoSpaceDN w:val="0"/>
        <w:bidi w:val="0"/>
        <w:adjustRightInd/>
        <w:snapToGrid/>
        <w:spacing w:line="600" w:lineRule="atLeast"/>
        <w:ind w:firstLine="640" w:firstLineChars="200"/>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加强城市管理精细化。</w:t>
      </w:r>
      <w:r>
        <w:rPr>
          <w:rFonts w:hint="eastAsia" w:ascii="仿宋_GB2312" w:hAnsi="仿宋" w:eastAsia="仿宋_GB2312" w:cs="仿宋"/>
          <w:b w:val="0"/>
          <w:bCs w:val="0"/>
          <w:sz w:val="32"/>
          <w:szCs w:val="32"/>
        </w:rPr>
        <w:t>按照“补短板、抓提升、强管理”总体思路，以项目建设为重点，精细化管理为保障，统筹城乡发展、改善民生、丰富城市元素、完善城市功能、提升城市品质，促进城市发展和管理模式转型，提升城市空间品质，塑造整洁、美丽、精致的城市空间环境，在更高层次上打造绿色发展样板城市，建设新时代幸福呼兰。</w:t>
      </w:r>
    </w:p>
    <w:p>
      <w:pPr>
        <w:keepNext w:val="0"/>
        <w:keepLines w:val="0"/>
        <w:pageBreakBefore w:val="0"/>
        <w:widowControl w:val="0"/>
        <w:kinsoku/>
        <w:wordWrap/>
        <w:overflowPunct/>
        <w:topLinePunct w:val="0"/>
        <w:autoSpaceDE w:val="0"/>
        <w:autoSpaceDN w:val="0"/>
        <w:bidi w:val="0"/>
        <w:adjustRightInd/>
        <w:snapToGrid/>
        <w:spacing w:line="600" w:lineRule="atLeast"/>
        <w:ind w:firstLine="640" w:firstLineChars="200"/>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不断提升城市运营水平。</w:t>
      </w:r>
      <w:r>
        <w:rPr>
          <w:rFonts w:hint="eastAsia" w:ascii="仿宋_GB2312" w:hAnsi="仿宋" w:eastAsia="仿宋_GB2312" w:cs="仿宋"/>
          <w:b w:val="0"/>
          <w:bCs w:val="0"/>
          <w:sz w:val="32"/>
          <w:szCs w:val="32"/>
        </w:rPr>
        <w:t>与城市运营商联手，在城市品牌建设、老城区更新改造、城市治理一体化和城市资本与金融赋能等方面实现突破。运用信息技术手段,着力提高公共安全、教育医疗、社区服务、交通出行、商贸物流、工业制造等领域的管理能力和保障水平，加快新型智慧城市建设。</w:t>
      </w:r>
    </w:p>
    <w:tbl>
      <w:tblPr>
        <w:tblStyle w:val="6"/>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731" w:type="dxa"/>
            <w:noWrap w:val="0"/>
            <w:vAlign w:val="top"/>
          </w:tcPr>
          <w:p>
            <w:pPr>
              <w:spacing w:before="240" w:after="240"/>
              <w:jc w:val="center"/>
              <w:outlineLvl w:val="5"/>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专栏</w:t>
            </w:r>
            <w:r>
              <w:rPr>
                <w:rFonts w:ascii="仿宋_GB2312" w:hAnsi="仿宋" w:eastAsia="仿宋_GB2312" w:cs="仿宋"/>
                <w:b w:val="0"/>
                <w:bCs w:val="0"/>
                <w:sz w:val="24"/>
                <w:szCs w:val="24"/>
              </w:rPr>
              <w:t xml:space="preserve">10 </w:t>
            </w:r>
            <w:r>
              <w:rPr>
                <w:rFonts w:hint="eastAsia" w:ascii="仿宋_GB2312" w:hAnsi="仿宋" w:eastAsia="仿宋_GB2312" w:cs="仿宋"/>
                <w:b w:val="0"/>
                <w:bCs w:val="0"/>
                <w:sz w:val="24"/>
                <w:szCs w:val="24"/>
              </w:rPr>
              <w:t>生态宜居宜业新城区重点工程项目</w:t>
            </w:r>
          </w:p>
          <w:p>
            <w:pPr>
              <w:pStyle w:val="9"/>
              <w:rPr>
                <w:rFonts w:ascii="仿宋_GB2312" w:hAnsi="仿宋" w:eastAsia="仿宋_GB2312" w:cs="仿宋"/>
                <w:b w:val="0"/>
                <w:bCs w:val="0"/>
                <w:sz w:val="24"/>
                <w:szCs w:val="24"/>
              </w:rPr>
            </w:pPr>
            <w:r>
              <w:rPr>
                <w:rFonts w:ascii="仿宋_GB2312" w:hAnsi="仿宋" w:eastAsia="仿宋_GB2312" w:cs="仿宋"/>
                <w:b w:val="0"/>
                <w:bCs w:val="0"/>
                <w:sz w:val="24"/>
                <w:szCs w:val="24"/>
              </w:rPr>
              <w:t>金街小区改造项目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污水管线长度为2480m，雨水管线长度为1860m，供暖（双向）管线长度为5860m，道路硬化面积为18700m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，人行道面积为1200 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，绿化面积为1800m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，供水管线长度为2150m，庭院灯135基，出入口闸机8套，铁艺大门8个，安防监控1套，健身器材40套，座椅50个，垃圾收储75组，停车线长度3500m。国税小区改造项目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污水管线长度为1700m，雨水管线长度为1300m，供暖（双向）管线长度为3500m，道路硬化面积为12500m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，人行道面积为1500m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，绿化面积为2900m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，供水管线长度为1450m，庭院灯115基，出入口闸机10套，铁艺大门10个，安防监控1套，健身器材30套，座椅30个，垃圾收储50组，停车线长度1600m。</w:t>
            </w:r>
          </w:p>
          <w:p>
            <w:pPr>
              <w:pStyle w:val="9"/>
              <w:rPr>
                <w:rFonts w:ascii="仿宋_GB2312" w:hAnsi="仿宋" w:eastAsia="仿宋_GB2312" w:cs="仿宋"/>
                <w:b w:val="0"/>
                <w:bCs w:val="0"/>
                <w:sz w:val="24"/>
                <w:szCs w:val="24"/>
              </w:rPr>
            </w:pPr>
            <w:r>
              <w:rPr>
                <w:rFonts w:ascii="仿宋_GB2312" w:hAnsi="仿宋" w:eastAsia="仿宋_GB2312" w:cs="仿宋"/>
                <w:b w:val="0"/>
                <w:bCs w:val="0"/>
                <w:sz w:val="24"/>
                <w:szCs w:val="24"/>
              </w:rPr>
              <w:t>康金街道小区配套基础设施改造项目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污水管线长度为1950m，雨水管线长度为1000m，供暖（双向）管线长度为5200m，道路硬化面积为9800m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，人行道面积为500m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，绿化面积为300m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，供水管线长度为1910m，庭院灯65基，出入口闸机14套，铁艺大门14个，安防监控1套，健身器材20套，垃圾收储35组，停车线长度1100m。</w:t>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p>
          <w:p>
            <w:pPr>
              <w:pStyle w:val="9"/>
              <w:rPr>
                <w:rFonts w:ascii="仿宋_GB2312" w:hAnsi="仿宋" w:eastAsia="仿宋_GB2312" w:cs="仿宋"/>
                <w:b w:val="0"/>
                <w:bCs w:val="0"/>
                <w:sz w:val="24"/>
                <w:szCs w:val="24"/>
              </w:rPr>
            </w:pPr>
            <w:r>
              <w:rPr>
                <w:rFonts w:ascii="仿宋_GB2312" w:hAnsi="仿宋" w:eastAsia="仿宋_GB2312" w:cs="仿宋"/>
                <w:b w:val="0"/>
                <w:bCs w:val="0"/>
                <w:sz w:val="24"/>
                <w:szCs w:val="24"/>
              </w:rPr>
              <w:t>革志小区配套基础设施改造项目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污水管线长度为1000m，雨水管线长度为800m，供暖（双向）管线长度为1400m，道路硬化面积为6950m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，人行道面积为4600 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，绿化面积为4000m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，供水管线长度为920m，庭院灯95基，出入口闸机1套，铁艺大门1个，安防监控1套，健身器材20套，座椅20个，垃圾收储20组，停车线长度1500m。</w:t>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p>
          <w:p>
            <w:pPr>
              <w:pStyle w:val="9"/>
              <w:rPr>
                <w:rFonts w:ascii="仿宋_GB2312" w:hAnsi="仿宋" w:eastAsia="仿宋_GB2312" w:cs="仿宋"/>
                <w:b w:val="0"/>
                <w:bCs w:val="0"/>
                <w:sz w:val="24"/>
                <w:szCs w:val="24"/>
              </w:rPr>
            </w:pPr>
            <w:r>
              <w:rPr>
                <w:rFonts w:ascii="仿宋_GB2312" w:hAnsi="仿宋" w:eastAsia="仿宋_GB2312" w:cs="仿宋"/>
                <w:b w:val="0"/>
                <w:bCs w:val="0"/>
                <w:sz w:val="24"/>
                <w:szCs w:val="24"/>
              </w:rPr>
              <w:t>新华小区北区配套基础设施改造项目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污水管线长度为1600m，雨水管线长度为1600m，供暖（双向）管线长度为3400m，道路硬化面积为17500m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，人行道面积为900 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，绿化面积为3500m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，供水管线长度为1850m，庭院灯75基，出入口闸机5套，铁艺大门5个，双层机械式立体停车位20套，安防监控1套，健身器材15套，座椅15个，垃圾收储20组，停车线3500m。</w:t>
            </w:r>
          </w:p>
          <w:p>
            <w:pPr>
              <w:pStyle w:val="9"/>
              <w:rPr>
                <w:rFonts w:ascii="仿宋_GB2312" w:hAnsi="仿宋" w:eastAsia="仿宋_GB2312" w:cs="仿宋"/>
                <w:b w:val="0"/>
                <w:bCs w:val="0"/>
                <w:sz w:val="24"/>
                <w:szCs w:val="24"/>
              </w:rPr>
            </w:pPr>
            <w:r>
              <w:rPr>
                <w:rFonts w:ascii="仿宋_GB2312" w:hAnsi="仿宋" w:eastAsia="仿宋_GB2312" w:cs="仿宋"/>
                <w:b w:val="0"/>
                <w:bCs w:val="0"/>
                <w:sz w:val="24"/>
                <w:szCs w:val="24"/>
              </w:rPr>
              <w:t>鹏达、沿河小区配套基础设施改造项目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污水管线长度为1600m，雨水管线长度为1050m，供暖（双向）管线长度为3200m，道路硬化面积为14600m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，人行道面积为500 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，绿化面积为2500m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，供水管线长度为1250m，庭院灯92基，出入口闸机3套，铁艺大门3个，双层机械式立体停车位20套，安防监控1套，健身器材25套，座椅30个，垃圾收储62组，停车线长度2000m。</w:t>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p>
          <w:p>
            <w:pPr>
              <w:pStyle w:val="9"/>
              <w:rPr>
                <w:rFonts w:ascii="仿宋_GB2312" w:hAnsi="仿宋" w:eastAsia="仿宋_GB2312" w:cs="仿宋"/>
                <w:b w:val="0"/>
                <w:bCs w:val="0"/>
                <w:sz w:val="24"/>
                <w:szCs w:val="24"/>
              </w:rPr>
            </w:pPr>
            <w:r>
              <w:rPr>
                <w:rFonts w:ascii="仿宋_GB2312" w:hAnsi="仿宋" w:eastAsia="仿宋_GB2312" w:cs="仿宋"/>
                <w:b w:val="0"/>
                <w:bCs w:val="0"/>
                <w:sz w:val="24"/>
                <w:szCs w:val="24"/>
              </w:rPr>
              <w:t>新华小区南区配套基础设施改造项目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污水管线长度为1900m，雨水管线长度为1600m，供暖（双向）管线长度为3900m，道路硬化面积为20500m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，人行道面积为2100m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，绿化面积为1800m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，供水管线长度为2380m，庭院灯76基，出入口闸机4套，铁艺大门4个，安防监控1套，健身器材20套，座椅20个，垃圾收储30组，停车线4200m。</w:t>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p>
          <w:p>
            <w:pPr>
              <w:pStyle w:val="9"/>
              <w:rPr>
                <w:rFonts w:ascii="仿宋_GB2312" w:hAnsi="仿宋" w:eastAsia="仿宋_GB2312" w:cs="仿宋"/>
                <w:b w:val="0"/>
                <w:bCs w:val="0"/>
                <w:sz w:val="24"/>
                <w:szCs w:val="24"/>
              </w:rPr>
            </w:pPr>
            <w:r>
              <w:rPr>
                <w:rFonts w:ascii="仿宋_GB2312" w:hAnsi="仿宋" w:eastAsia="仿宋_GB2312" w:cs="仿宋"/>
                <w:b w:val="0"/>
                <w:bCs w:val="0"/>
                <w:sz w:val="24"/>
                <w:szCs w:val="24"/>
              </w:rPr>
              <w:t>公安局家属区配套基础设施改造项目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污水管线长度为450m，雨水管线长度为400m，供暖（双向）管线长度为850m，道路硬化面积为4400m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，绿化面积为1900m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，供水管线长度为400m，庭院灯25基，出入口闸机3套，铁艺大门3个，安防监控1套，健身器材5套，座椅10个，垃圾收储10组，停车线长度720m。</w:t>
            </w:r>
            <w:r>
              <w:rPr>
                <w:rFonts w:ascii="仿宋_GB2312" w:hAnsi="仿宋" w:eastAsia="仿宋_GB2312" w:cs="仿宋"/>
                <w:b w:val="0"/>
                <w:bCs w:val="0"/>
                <w:sz w:val="24"/>
                <w:szCs w:val="24"/>
              </w:rPr>
              <w:tab/>
            </w:r>
          </w:p>
          <w:p>
            <w:pPr>
              <w:pStyle w:val="9"/>
              <w:rPr>
                <w:rFonts w:ascii="仿宋_GB2312" w:hAnsi="仿宋" w:eastAsia="仿宋_GB2312" w:cs="仿宋"/>
                <w:b w:val="0"/>
                <w:bCs w:val="0"/>
                <w:sz w:val="24"/>
                <w:szCs w:val="24"/>
              </w:rPr>
            </w:pPr>
            <w:r>
              <w:rPr>
                <w:rFonts w:ascii="仿宋_GB2312" w:hAnsi="仿宋" w:eastAsia="仿宋_GB2312" w:cs="仿宋"/>
                <w:b w:val="0"/>
                <w:bCs w:val="0"/>
                <w:sz w:val="24"/>
                <w:szCs w:val="24"/>
              </w:rPr>
              <w:t>邮局小区配套基础设施改造项目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污水管线长度为680m，雨水管线长度为580m，供暖（双向）管线长度为2400m，道路硬化面积为7500m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，人行道面积为650 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，绿化面积为2800m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，供水管线长度为620m，庭院灯66基，出入口闸机3套，铁艺大门3个，安防监控1套，健身器材30套，座椅20个，垃圾收储20组，停车线长度1800m</w:t>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p>
          <w:p>
            <w:pPr>
              <w:pStyle w:val="9"/>
              <w:rPr>
                <w:rFonts w:ascii="仿宋_GB2312" w:hAnsi="仿宋" w:eastAsia="仿宋_GB2312" w:cs="仿宋"/>
                <w:b w:val="0"/>
                <w:bCs w:val="0"/>
                <w:sz w:val="24"/>
                <w:szCs w:val="24"/>
              </w:rPr>
            </w:pPr>
            <w:r>
              <w:rPr>
                <w:rFonts w:ascii="仿宋_GB2312" w:hAnsi="仿宋" w:eastAsia="仿宋_GB2312" w:cs="仿宋"/>
                <w:b w:val="0"/>
                <w:bCs w:val="0"/>
                <w:sz w:val="24"/>
                <w:szCs w:val="24"/>
              </w:rPr>
              <w:t>工会小区配套基础设施改造项目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污水管线长度为550m，雨水管线长度为390m，供暖（双向）管线长度为1600m，道路硬化面积为3400m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，绿化面积为100m</w:t>
            </w:r>
            <w:r>
              <w:rPr>
                <w:rFonts w:ascii="仿宋_GB2312" w:hAnsi="仿宋" w:eastAsia="仿宋_GB2312" w:cs="仿宋"/>
                <w:b w:val="0"/>
                <w:bCs w:val="0"/>
                <w:sz w:val="24"/>
                <w:szCs w:val="24"/>
                <w:vertAlign w:val="superscript"/>
              </w:rPr>
              <w:t>2</w:t>
            </w:r>
            <w:r>
              <w:rPr>
                <w:rFonts w:ascii="仿宋_GB2312" w:hAnsi="仿宋" w:eastAsia="仿宋_GB2312" w:cs="仿宋"/>
                <w:b w:val="0"/>
                <w:bCs w:val="0"/>
                <w:sz w:val="24"/>
                <w:szCs w:val="24"/>
              </w:rPr>
              <w:t>，供水管线长度为480m，庭院灯23基，出入口闸机4套，铁艺大门4个，安防监控1套，健身器材10套，座椅10个，垃圾收储21组，停车线长度900m。</w:t>
            </w:r>
          </w:p>
        </w:tc>
      </w:tr>
    </w:tbl>
    <w:p>
      <w:pPr>
        <w:pStyle w:val="2"/>
        <w:rPr>
          <w:b w:val="0"/>
          <w:bCs w:val="0"/>
        </w:rPr>
      </w:pP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40" w:name="_Toc861"/>
      <w:r>
        <w:rPr>
          <w:rFonts w:hint="eastAsia" w:ascii="黑体" w:hAnsi="黑体" w:eastAsia="黑体" w:cs="仿宋"/>
          <w:b w:val="0"/>
          <w:bCs w:val="0"/>
          <w:sz w:val="32"/>
          <w:szCs w:val="32"/>
          <w:lang w:val="en-US" w:eastAsia="zh-CN"/>
        </w:rPr>
        <w:t xml:space="preserve"> </w:t>
      </w:r>
      <w:r>
        <w:rPr>
          <w:rFonts w:hint="eastAsia" w:ascii="黑体" w:hAnsi="黑体" w:eastAsia="黑体" w:cs="仿宋"/>
          <w:b w:val="0"/>
          <w:bCs w:val="0"/>
          <w:sz w:val="32"/>
          <w:szCs w:val="32"/>
        </w:rPr>
        <w:t>第四节 巩固拓展脱贫攻坚成果</w:t>
      </w:r>
      <w:r>
        <w:rPr>
          <w:rFonts w:hint="eastAsia" w:ascii="黑体" w:hAnsi="黑体" w:eastAsia="黑体" w:cs="仿宋"/>
          <w:b w:val="0"/>
          <w:bCs w:val="0"/>
          <w:sz w:val="32"/>
          <w:szCs w:val="32"/>
          <w:lang w:val="en-US" w:eastAsia="zh-CN"/>
        </w:rPr>
        <w:t xml:space="preserve"> </w:t>
      </w:r>
      <w:r>
        <w:rPr>
          <w:rFonts w:hint="eastAsia" w:ascii="黑体" w:hAnsi="黑体" w:eastAsia="黑体" w:cs="仿宋"/>
          <w:b w:val="0"/>
          <w:bCs w:val="0"/>
          <w:sz w:val="32"/>
          <w:szCs w:val="32"/>
        </w:rPr>
        <w:t>同乡村振兴有效衔接</w:t>
      </w:r>
      <w:bookmarkEnd w:id="40"/>
    </w:p>
    <w:p>
      <w:pPr>
        <w:autoSpaceDE w:val="0"/>
        <w:autoSpaceDN w:val="0"/>
        <w:spacing w:line="600" w:lineRule="exact"/>
        <w:ind w:firstLine="640" w:firstLineChars="200"/>
      </w:pPr>
      <w:r>
        <w:rPr>
          <w:rFonts w:hint="eastAsia" w:ascii="仿宋_GB2312" w:hAnsi="仿宋" w:eastAsia="仿宋_GB2312" w:cs="仿宋"/>
          <w:b w:val="0"/>
          <w:bCs w:val="0"/>
          <w:sz w:val="32"/>
          <w:szCs w:val="32"/>
        </w:rPr>
        <w:t>严格落实“四个不摘”要求，保持现有帮扶政策，资金支持，帮扶力量总体稳定。继续对脱贫村、脱贫人口开展监测，持续监测收入变化和“两不愁、三保障”巩固变化情况，定期核查、动态清零。持续发展壮大扶贫产业，加强产业发展基础设施建设，深化消费扶贫，拓展扶贫产品销售渠道，有效提升带贫益贫能力。做好脱贫人口稳岗就业，围绕产业发展，市场用工需求和劳动就业需求，加大对脱贫人口职业技能培训力度，促进贫困劳动力就业，规范管理公益岗位，促进弱劳力、半劳力等家庭就业、就地就业，持续巩固脱贫成效。加强扶贫资金产业项目管理，健全扶贫资产管理制度，助力推进乡村振兴。兜住民生底线，健全农村社会保障和</w:t>
      </w:r>
      <w:r>
        <w:rPr>
          <w:rFonts w:hint="eastAsia" w:ascii="仿宋_GB2312" w:hAnsi="仿宋" w:eastAsia="仿宋_GB2312" w:cs="仿宋"/>
          <w:b w:val="0"/>
          <w:bCs w:val="0"/>
          <w:sz w:val="32"/>
          <w:szCs w:val="32"/>
          <w:lang w:val="en-US" w:eastAsia="zh-CN"/>
        </w:rPr>
        <w:t>救助</w:t>
      </w:r>
      <w:r>
        <w:rPr>
          <w:rFonts w:hint="eastAsia" w:ascii="仿宋_GB2312" w:hAnsi="仿宋" w:eastAsia="仿宋_GB2312" w:cs="仿宋"/>
          <w:b w:val="0"/>
          <w:bCs w:val="0"/>
          <w:sz w:val="32"/>
          <w:szCs w:val="32"/>
        </w:rPr>
        <w:t>制度，保障困难群众基本生活。</w:t>
      </w:r>
    </w:p>
    <w:p>
      <w:pPr>
        <w:keepNext w:val="0"/>
        <w:keepLines w:val="0"/>
        <w:pageBreakBefore w:val="0"/>
        <w:widowControl w:val="0"/>
        <w:numPr>
          <w:ilvl w:val="0"/>
          <w:numId w:val="2"/>
        </w:numPr>
        <w:kinsoku/>
        <w:wordWrap/>
        <w:overflowPunct/>
        <w:topLinePunct w:val="0"/>
        <w:bidi w:val="0"/>
        <w:adjustRightInd/>
        <w:snapToGrid/>
        <w:spacing w:line="600" w:lineRule="exact"/>
        <w:jc w:val="center"/>
        <w:textAlignment w:val="auto"/>
        <w:outlineLvl w:val="0"/>
        <w:rPr>
          <w:rFonts w:hint="eastAsia" w:ascii="黑体" w:hAnsi="黑体" w:eastAsia="黑体" w:cs="黑体"/>
          <w:b w:val="0"/>
          <w:bCs w:val="0"/>
          <w:sz w:val="32"/>
          <w:szCs w:val="32"/>
        </w:rPr>
      </w:pPr>
      <w:bookmarkStart w:id="41" w:name="_Toc31762"/>
      <w:r>
        <w:rPr>
          <w:rFonts w:hint="eastAsia" w:ascii="黑体" w:hAnsi="黑体" w:eastAsia="黑体" w:cs="黑体"/>
          <w:b w:val="0"/>
          <w:bCs w:val="0"/>
          <w:sz w:val="32"/>
          <w:szCs w:val="32"/>
        </w:rPr>
        <w:t>对标全市现代化国际大都市建设</w:t>
      </w:r>
    </w:p>
    <w:p>
      <w:pPr>
        <w:keepNext w:val="0"/>
        <w:keepLines w:val="0"/>
        <w:pageBreakBefore w:val="0"/>
        <w:widowControl w:val="0"/>
        <w:numPr>
          <w:ilvl w:val="0"/>
          <w:numId w:val="0"/>
        </w:numPr>
        <w:kinsoku/>
        <w:wordWrap/>
        <w:overflowPunct/>
        <w:topLinePunct w:val="0"/>
        <w:bidi w:val="0"/>
        <w:adjustRightInd/>
        <w:snapToGrid/>
        <w:spacing w:line="600" w:lineRule="exact"/>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提升基础设施服务功能</w:t>
      </w:r>
      <w:bookmarkEnd w:id="41"/>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充分发挥基础设施建设对稳增长、惠民生的重要作用，加大投资力度，补齐短板，加快推动城乡基础设施提档升级，实现城乡基础设施统一规划、统一建设、统一管护，构建交通、能源、水利、信息等重大基础设施网络，增强对经济发展引领作用和支撑能力。</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42" w:name="_Toc994"/>
      <w:r>
        <w:rPr>
          <w:rFonts w:hint="eastAsia" w:ascii="黑体" w:hAnsi="黑体" w:eastAsia="黑体" w:cs="仿宋"/>
          <w:b w:val="0"/>
          <w:bCs w:val="0"/>
          <w:sz w:val="32"/>
          <w:szCs w:val="32"/>
        </w:rPr>
        <w:t>第一节 打造互联互通的现代综合交通体系</w:t>
      </w:r>
      <w:bookmarkEnd w:id="42"/>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加快铁路港口及公路网络基础设施建设。</w:t>
      </w:r>
      <w:r>
        <w:rPr>
          <w:rFonts w:hint="eastAsia" w:ascii="仿宋_GB2312" w:hAnsi="仿宋" w:eastAsia="仿宋_GB2312" w:cs="仿宋"/>
          <w:b w:val="0"/>
          <w:bCs w:val="0"/>
          <w:sz w:val="32"/>
          <w:szCs w:val="32"/>
        </w:rPr>
        <w:t>积极融入哈尔滨现代化综合交通体系建设，形成以哈依、哈肇、滨水大道围合的环形交通网络。加强与哈尔滨新区在轨道交通网络、智能交通网络上的</w:t>
      </w:r>
      <w:r>
        <w:rPr>
          <w:rFonts w:ascii="仿宋_GB2312" w:hAnsi="仿宋" w:eastAsia="仿宋_GB2312" w:cs="仿宋"/>
          <w:b w:val="0"/>
          <w:bCs w:val="0"/>
          <w:sz w:val="32"/>
          <w:szCs w:val="32"/>
        </w:rPr>
        <w:t>一体化建设</w:t>
      </w:r>
      <w:r>
        <w:rPr>
          <w:rFonts w:hint="eastAsia" w:ascii="仿宋_GB2312" w:hAnsi="仿宋" w:eastAsia="仿宋_GB2312" w:cs="仿宋"/>
          <w:b w:val="0"/>
          <w:bCs w:val="0"/>
          <w:sz w:val="32"/>
          <w:szCs w:val="32"/>
        </w:rPr>
        <w:t>，增强呼兰对外交通可达性。积极配合</w:t>
      </w:r>
      <w:r>
        <w:rPr>
          <w:rFonts w:hint="eastAsia" w:ascii="仿宋_GB2312" w:hAnsi="仿宋" w:eastAsia="仿宋_GB2312" w:cs="仿宋"/>
          <w:b w:val="0"/>
          <w:bCs w:val="0"/>
          <w:sz w:val="32"/>
        </w:rPr>
        <w:t>哈尔滨至铁力至伊春高速铁路项目建设，推进普速铁路（滨北线）道口平改立和上跨人行天桥工程。以呼兰港区为重点，推动江海联运基础设施建设。</w:t>
      </w:r>
      <w:r>
        <w:rPr>
          <w:rFonts w:hint="eastAsia" w:ascii="仿宋_GB2312" w:hAnsi="仿宋" w:eastAsia="仿宋_GB2312" w:cs="仿宋"/>
          <w:b w:val="0"/>
          <w:bCs w:val="0"/>
          <w:sz w:val="32"/>
          <w:szCs w:val="32"/>
        </w:rPr>
        <w:t>加快县级公路的升级改造，对乡村公路的断头路段实施硬化，提升疏散与运输能力。推进国道G222（原哈伊公路）呼兰至西长发段改扩建工程，呼兰河第二跨河桥项目建设。实施国道公路升级改造工程52公里，农村公路建制村通双车道改造工程项目124.9公里，较大人口自然村通硬化路项目 49.69 公里。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积极完善全区功能性交通设施。</w:t>
      </w:r>
      <w:r>
        <w:rPr>
          <w:rFonts w:hint="eastAsia" w:ascii="仿宋_GB2312" w:hAnsi="仿宋" w:eastAsia="仿宋_GB2312" w:cs="仿宋"/>
          <w:b w:val="0"/>
          <w:bCs w:val="0"/>
          <w:sz w:val="32"/>
          <w:szCs w:val="32"/>
        </w:rPr>
        <w:t>推进呼兰区客运货运物流综合服务中心建设项目，</w:t>
      </w:r>
      <w:r>
        <w:rPr>
          <w:rFonts w:hint="eastAsia" w:ascii="仿宋_GB2312" w:hAnsi="仿宋" w:eastAsia="仿宋_GB2312" w:cs="仿宋"/>
          <w:b w:val="0"/>
          <w:bCs w:val="0"/>
          <w:sz w:val="32"/>
        </w:rPr>
        <w:t>实现公路客运与铁路运输、城市轨道交通、城市公共交通的“零换乘”。</w:t>
      </w:r>
      <w:r>
        <w:rPr>
          <w:rFonts w:hint="eastAsia" w:ascii="仿宋_GB2312" w:hAnsi="仿宋" w:eastAsia="仿宋_GB2312" w:cs="仿宋"/>
          <w:b w:val="0"/>
          <w:bCs w:val="0"/>
          <w:sz w:val="32"/>
          <w:szCs w:val="32"/>
        </w:rPr>
        <w:t>加快区域公路道路升级改造，打通堵点阻点。</w:t>
      </w:r>
      <w:r>
        <w:rPr>
          <w:rFonts w:hint="eastAsia" w:ascii="仿宋_GB2312" w:hAnsi="仿宋" w:eastAsia="仿宋_GB2312" w:cs="仿宋"/>
          <w:b w:val="0"/>
          <w:bCs w:val="0"/>
          <w:sz w:val="32"/>
        </w:rPr>
        <w:t>整合农村客运市场，编制《呼兰区农村客运发展专项规划》，将45条农村线路合并压缩。</w:t>
      </w:r>
      <w:r>
        <w:rPr>
          <w:rFonts w:hint="eastAsia" w:ascii="仿宋_GB2312" w:hAnsi="仿宋" w:eastAsia="仿宋_GB2312" w:cs="仿宋"/>
          <w:b w:val="0"/>
          <w:bCs w:val="0"/>
          <w:sz w:val="32"/>
          <w:szCs w:val="32"/>
        </w:rPr>
        <w:t>加大公共交通市场占有比例。打造产品销售、配送、仓储、电子商务于一体的多功能服务平台。以专业市场和现代物流产业为核心，形成哈尔滨北部地区物流产业带。</w:t>
      </w:r>
      <w:r>
        <w:rPr>
          <w:rFonts w:hint="eastAsia" w:ascii="仿宋_GB2312" w:hAnsi="仿宋" w:eastAsia="仿宋_GB2312" w:cs="仿宋"/>
          <w:b w:val="0"/>
          <w:bCs w:val="0"/>
          <w:sz w:val="32"/>
        </w:rPr>
        <w:t>科学确定巡游出租汽车运力规模，合理配置巡游出租汽车的车辆经营权。</w:t>
      </w:r>
      <w:r>
        <w:rPr>
          <w:rFonts w:hint="eastAsia" w:ascii="仿宋_GB2312" w:hAnsi="仿宋" w:eastAsia="仿宋_GB2312" w:cs="仿宋"/>
          <w:b w:val="0"/>
          <w:bCs w:val="0"/>
          <w:sz w:val="32"/>
          <w:szCs w:val="32"/>
        </w:rPr>
        <w:t>全面提高交通设施的技术装备水平、管理水平和服务水平，基本实现交通运输客运高速化、货运物流化、管理智能化。</w:t>
      </w:r>
    </w:p>
    <w:tbl>
      <w:tblPr>
        <w:tblStyle w:val="6"/>
        <w:tblW w:w="8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783" w:type="dxa"/>
            <w:noWrap w:val="0"/>
            <w:vAlign w:val="top"/>
          </w:tcPr>
          <w:p>
            <w:pPr>
              <w:spacing w:before="240" w:after="240"/>
              <w:jc w:val="center"/>
              <w:outlineLvl w:val="5"/>
              <w:rPr>
                <w:rFonts w:ascii="仿宋" w:hAnsi="仿宋" w:eastAsia="仿宋" w:cs="仿宋"/>
                <w:b w:val="0"/>
                <w:bCs w:val="0"/>
                <w:sz w:val="24"/>
                <w:szCs w:val="24"/>
              </w:rPr>
            </w:pPr>
            <w:r>
              <w:rPr>
                <w:rFonts w:hint="eastAsia" w:ascii="仿宋" w:hAnsi="仿宋" w:eastAsia="仿宋" w:cs="仿宋"/>
                <w:b w:val="0"/>
                <w:bCs w:val="0"/>
                <w:sz w:val="24"/>
                <w:szCs w:val="24"/>
              </w:rPr>
              <w:t>专栏</w:t>
            </w:r>
            <w:r>
              <w:rPr>
                <w:rFonts w:ascii="仿宋" w:hAnsi="仿宋" w:eastAsia="仿宋" w:cs="仿宋"/>
                <w:b w:val="0"/>
                <w:bCs w:val="0"/>
                <w:sz w:val="24"/>
                <w:szCs w:val="24"/>
              </w:rPr>
              <w:t xml:space="preserve">11 </w:t>
            </w:r>
            <w:r>
              <w:rPr>
                <w:rFonts w:hint="eastAsia" w:ascii="仿宋" w:hAnsi="仿宋" w:eastAsia="仿宋" w:cs="仿宋"/>
                <w:b w:val="0"/>
                <w:bCs w:val="0"/>
                <w:sz w:val="24"/>
                <w:szCs w:val="24"/>
              </w:rPr>
              <w:t>现代综合交通体系重点工程项目</w:t>
            </w:r>
          </w:p>
          <w:p>
            <w:pPr>
              <w:adjustRightInd w:val="0"/>
              <w:snapToGrid w:val="0"/>
              <w:rPr>
                <w:rFonts w:ascii="仿宋" w:hAnsi="仿宋" w:eastAsia="仿宋" w:cs="仿宋"/>
                <w:b w:val="0"/>
                <w:bCs w:val="0"/>
                <w:sz w:val="24"/>
                <w:szCs w:val="24"/>
              </w:rPr>
            </w:pPr>
            <w:r>
              <w:rPr>
                <w:rFonts w:hint="eastAsia" w:ascii="仿宋" w:hAnsi="仿宋" w:eastAsia="仿宋" w:cs="仿宋"/>
                <w:b w:val="0"/>
                <w:bCs w:val="0"/>
                <w:sz w:val="24"/>
                <w:szCs w:val="24"/>
              </w:rPr>
              <w:t>呼兰河第二大桥。位于师专路与向阳路之间的跨河通道处，距离哈肇公路呼兰河大桥约2.3公里，项目起点为兴业东路，终点为萧红大街，工程全长8810米，其中桥梁长度2550米，两侧引桥分别长115米，北侧道路及辅道总长1250米，南侧道路及辅道总长4780米，红线宽度60米，双向8车道。</w:t>
            </w:r>
          </w:p>
          <w:p>
            <w:pPr>
              <w:adjustRightInd w:val="0"/>
              <w:snapToGrid w:val="0"/>
              <w:rPr>
                <w:rFonts w:ascii="仿宋" w:hAnsi="仿宋" w:eastAsia="仿宋" w:cs="仿宋"/>
                <w:b w:val="0"/>
                <w:bCs w:val="0"/>
                <w:sz w:val="24"/>
                <w:szCs w:val="24"/>
              </w:rPr>
            </w:pPr>
            <w:r>
              <w:rPr>
                <w:rFonts w:hint="eastAsia" w:ascii="仿宋" w:hAnsi="仿宋" w:eastAsia="仿宋" w:cs="仿宋"/>
                <w:b w:val="0"/>
                <w:bCs w:val="0"/>
                <w:sz w:val="24"/>
                <w:szCs w:val="24"/>
              </w:rPr>
              <w:t>国道嘉荫至临江公路西长发镇至呼兰段建设项目。全长</w:t>
            </w:r>
            <w:r>
              <w:rPr>
                <w:rFonts w:ascii="仿宋" w:hAnsi="仿宋" w:eastAsia="仿宋" w:cs="仿宋"/>
                <w:b w:val="0"/>
                <w:bCs w:val="0"/>
                <w:sz w:val="24"/>
                <w:szCs w:val="24"/>
              </w:rPr>
              <w:t>52公里，改造后为二级公路，路基宽12米，路面宽10.5米。</w:t>
            </w:r>
            <w:r>
              <w:rPr>
                <w:rFonts w:ascii="仿宋" w:hAnsi="仿宋" w:eastAsia="仿宋" w:cs="仿宋"/>
                <w:b w:val="0"/>
                <w:bCs w:val="0"/>
                <w:sz w:val="24"/>
                <w:szCs w:val="24"/>
              </w:rPr>
              <w:tab/>
            </w:r>
          </w:p>
          <w:p>
            <w:pPr>
              <w:adjustRightInd w:val="0"/>
              <w:snapToGrid w:val="0"/>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萧红大道升级改造工程项目。</w:t>
            </w:r>
            <w:r>
              <w:rPr>
                <w:rFonts w:ascii="仿宋_GB2312" w:hAnsi="仿宋" w:eastAsia="仿宋_GB2312" w:cs="仿宋"/>
                <w:b w:val="0"/>
                <w:bCs w:val="0"/>
                <w:sz w:val="24"/>
                <w:szCs w:val="24"/>
              </w:rPr>
              <w:t>扩建萧红大道道路红线宽度为65</w:t>
            </w:r>
            <w:r>
              <w:rPr>
                <w:rFonts w:hint="eastAsia" w:ascii="仿宋_GB2312" w:hAnsi="仿宋" w:eastAsia="仿宋_GB2312" w:cs="仿宋"/>
                <w:b w:val="0"/>
                <w:bCs w:val="0"/>
                <w:sz w:val="24"/>
                <w:szCs w:val="24"/>
                <w:lang w:eastAsia="zh-CN"/>
              </w:rPr>
              <w:t>米</w:t>
            </w:r>
            <w:r>
              <w:rPr>
                <w:rFonts w:hint="eastAsia" w:ascii="仿宋_GB2312" w:hAnsi="仿宋" w:eastAsia="仿宋_GB2312" w:cs="仿宋"/>
                <w:b w:val="0"/>
                <w:bCs w:val="0"/>
                <w:sz w:val="24"/>
                <w:szCs w:val="24"/>
              </w:rPr>
              <w:t>。</w:t>
            </w:r>
          </w:p>
          <w:p>
            <w:pPr>
              <w:adjustRightInd w:val="0"/>
              <w:snapToGrid w:val="0"/>
              <w:rPr>
                <w:b w:val="0"/>
                <w:bCs w:val="0"/>
              </w:rPr>
            </w:pPr>
            <w:r>
              <w:rPr>
                <w:rFonts w:hint="eastAsia" w:ascii="仿宋" w:hAnsi="仿宋" w:eastAsia="仿宋" w:cs="仿宋"/>
                <w:b w:val="0"/>
                <w:bCs w:val="0"/>
                <w:sz w:val="24"/>
                <w:szCs w:val="24"/>
              </w:rPr>
              <w:t>乡村振兴及乡村基础设施建设项目。康金街道、杨林乡、石人镇、大用镇4个</w:t>
            </w:r>
            <w:r>
              <w:rPr>
                <w:rFonts w:hint="eastAsia" w:ascii="仿宋" w:hAnsi="仿宋" w:eastAsia="仿宋" w:cs="仿宋"/>
                <w:b w:val="0"/>
                <w:bCs w:val="0"/>
                <w:sz w:val="24"/>
                <w:szCs w:val="24"/>
                <w:lang w:eastAsia="zh-CN"/>
              </w:rPr>
              <w:t>乡（镇）、</w:t>
            </w:r>
            <w:r>
              <w:rPr>
                <w:rFonts w:hint="eastAsia" w:ascii="仿宋" w:hAnsi="仿宋" w:eastAsia="仿宋" w:cs="仿宋"/>
                <w:b w:val="0"/>
                <w:bCs w:val="0"/>
                <w:sz w:val="24"/>
                <w:szCs w:val="24"/>
              </w:rPr>
              <w:t>街道所有村屯。新建水泥路298千米，路边沟596千米，新安装太阳能路灯2650盏。</w:t>
            </w:r>
          </w:p>
          <w:p>
            <w:pPr>
              <w:pStyle w:val="9"/>
              <w:rPr>
                <w:rFonts w:ascii="仿宋" w:hAnsi="仿宋" w:eastAsia="仿宋" w:cs="仿宋"/>
                <w:b w:val="0"/>
                <w:bCs w:val="0"/>
                <w:sz w:val="24"/>
                <w:szCs w:val="24"/>
              </w:rPr>
            </w:pPr>
            <w:r>
              <w:rPr>
                <w:rFonts w:hint="eastAsia" w:ascii="仿宋" w:hAnsi="仿宋" w:eastAsia="仿宋" w:cs="仿宋"/>
                <w:b w:val="0"/>
                <w:bCs w:val="0"/>
                <w:sz w:val="24"/>
                <w:szCs w:val="24"/>
              </w:rPr>
              <w:t>哈尔滨市呼兰区客运货运物流综合服务中心及城乡交通基础设施建设项目。公交首末站、城乡客运及换乘车多功能站房楼、车辆安检技术检测站、大型车库、场地硬化。货运物流调度中心；货物仓储库房；货运企业经营服务用房；治超、检测、维修服务站等项内容。</w:t>
            </w:r>
          </w:p>
          <w:p>
            <w:pPr>
              <w:pStyle w:val="9"/>
              <w:rPr>
                <w:rFonts w:ascii="仿宋" w:hAnsi="仿宋" w:eastAsia="仿宋" w:cs="仿宋"/>
                <w:b w:val="0"/>
                <w:bCs w:val="0"/>
                <w:sz w:val="24"/>
                <w:szCs w:val="24"/>
              </w:rPr>
            </w:pPr>
            <w:r>
              <w:rPr>
                <w:rFonts w:hint="eastAsia" w:ascii="仿宋" w:hAnsi="仿宋" w:eastAsia="仿宋" w:cs="仿宋"/>
                <w:b w:val="0"/>
                <w:bCs w:val="0"/>
                <w:sz w:val="24"/>
                <w:szCs w:val="24"/>
              </w:rPr>
              <w:t>腰堡镇特色文旅交通建设项目。腰堡镇特色文旅路线，新建一条公交线路，起点为哈尔滨市核心城区，终点为黄土山，途径松浦大桥、景观大道、呼口大桥；新建一条旅游航运路线，起点为景观大道码头，终点为哈尔滨市核心城区码头。</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道路大中修项目。</w:t>
            </w:r>
            <w:r>
              <w:rPr>
                <w:rFonts w:ascii="仿宋_GB2312" w:hAnsi="仿宋" w:eastAsia="仿宋_GB2312" w:cs="仿宋"/>
                <w:b w:val="0"/>
                <w:bCs w:val="0"/>
                <w:sz w:val="24"/>
                <w:szCs w:val="24"/>
              </w:rPr>
              <w:t>道路维修车行道、部分维修人行道</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公交车停靠港湾建设工程项目。</w:t>
            </w:r>
            <w:r>
              <w:rPr>
                <w:rFonts w:ascii="仿宋_GB2312" w:hAnsi="仿宋" w:eastAsia="仿宋_GB2312" w:cs="仿宋"/>
                <w:b w:val="0"/>
                <w:bCs w:val="0"/>
                <w:sz w:val="24"/>
                <w:szCs w:val="24"/>
              </w:rPr>
              <w:t>对原公交站台从新规划设计，合理利用空间完善公交港湾，拆除原公交站台人行道并恢复路面结构，每处公交港湾改造57米，平均每处150平方米，共改造新建站台16处，总面积2400平方米</w:t>
            </w:r>
            <w:r>
              <w:rPr>
                <w:rFonts w:hint="eastAsia" w:ascii="仿宋_GB2312" w:hAnsi="仿宋" w:eastAsia="仿宋_GB2312" w:cs="仿宋"/>
                <w:b w:val="0"/>
                <w:bCs w:val="0"/>
                <w:sz w:val="24"/>
                <w:szCs w:val="24"/>
              </w:rPr>
              <w:t>。</w:t>
            </w:r>
          </w:p>
          <w:p>
            <w:pPr>
              <w:pStyle w:val="9"/>
              <w:rPr>
                <w:rFonts w:ascii="仿宋" w:hAnsi="仿宋" w:eastAsia="仿宋" w:cs="仿宋"/>
                <w:b w:val="0"/>
                <w:bCs w:val="0"/>
                <w:sz w:val="24"/>
                <w:szCs w:val="24"/>
              </w:rPr>
            </w:pPr>
            <w:r>
              <w:rPr>
                <w:rFonts w:hint="eastAsia" w:ascii="仿宋" w:hAnsi="仿宋" w:eastAsia="仿宋" w:cs="仿宋"/>
                <w:b w:val="0"/>
                <w:bCs w:val="0"/>
                <w:sz w:val="24"/>
                <w:szCs w:val="24"/>
              </w:rPr>
              <w:t>交通设施建设工程及公铁立交桥增设防撞系统项目。</w:t>
            </w:r>
            <w:r>
              <w:rPr>
                <w:rFonts w:ascii="仿宋" w:hAnsi="仿宋" w:eastAsia="仿宋" w:cs="仿宋"/>
                <w:b w:val="0"/>
                <w:bCs w:val="0"/>
                <w:sz w:val="24"/>
                <w:szCs w:val="24"/>
              </w:rPr>
              <w:t>公铁立交桥增设防撞系统、伸缩缝维修、增设路灯等。呼兰区增设交通设施、施划标线等。</w:t>
            </w:r>
          </w:p>
          <w:p>
            <w:pPr>
              <w:pStyle w:val="9"/>
              <w:rPr>
                <w:rFonts w:ascii="仿宋" w:hAnsi="仿宋" w:eastAsia="仿宋" w:cs="仿宋"/>
                <w:b w:val="0"/>
                <w:bCs w:val="0"/>
                <w:sz w:val="24"/>
                <w:szCs w:val="24"/>
              </w:rPr>
            </w:pPr>
            <w:r>
              <w:rPr>
                <w:rFonts w:hint="eastAsia" w:ascii="仿宋" w:hAnsi="仿宋" w:eastAsia="仿宋" w:cs="仿宋"/>
                <w:b w:val="0"/>
                <w:bCs w:val="0"/>
                <w:sz w:val="24"/>
                <w:szCs w:val="24"/>
              </w:rPr>
              <w:t>康金街道办事处八卦街广场升级改造工程项目。</w:t>
            </w:r>
            <w:r>
              <w:rPr>
                <w:rFonts w:ascii="仿宋" w:hAnsi="仿宋" w:eastAsia="仿宋" w:cs="仿宋"/>
                <w:b w:val="0"/>
                <w:bCs w:val="0"/>
                <w:sz w:val="24"/>
                <w:szCs w:val="24"/>
              </w:rPr>
              <w:t>包括广场铺装、广场健身器材、广场休闲娱乐设施，周边商铺外立面改造、墙体亮化、人行道改造，排水改造、照明改造、绿化改造及交通安全设施工程。</w:t>
            </w:r>
            <w:r>
              <w:rPr>
                <w:rFonts w:ascii="仿宋" w:hAnsi="仿宋" w:eastAsia="仿宋" w:cs="仿宋"/>
                <w:b w:val="0"/>
                <w:bCs w:val="0"/>
                <w:sz w:val="24"/>
                <w:szCs w:val="24"/>
              </w:rPr>
              <w:tab/>
            </w:r>
            <w:r>
              <w:rPr>
                <w:rFonts w:ascii="仿宋" w:hAnsi="仿宋" w:eastAsia="仿宋" w:cs="仿宋"/>
                <w:b w:val="0"/>
                <w:bCs w:val="0"/>
                <w:sz w:val="24"/>
                <w:szCs w:val="24"/>
              </w:rPr>
              <w:tab/>
            </w:r>
            <w:r>
              <w:rPr>
                <w:rFonts w:ascii="仿宋" w:hAnsi="仿宋" w:eastAsia="仿宋" w:cs="仿宋"/>
                <w:b w:val="0"/>
                <w:bCs w:val="0"/>
                <w:sz w:val="24"/>
                <w:szCs w:val="24"/>
              </w:rPr>
              <w:tab/>
            </w:r>
            <w:r>
              <w:rPr>
                <w:rFonts w:ascii="仿宋" w:hAnsi="仿宋" w:eastAsia="仿宋" w:cs="仿宋"/>
                <w:b w:val="0"/>
                <w:bCs w:val="0"/>
                <w:sz w:val="24"/>
                <w:szCs w:val="24"/>
              </w:rPr>
              <w:tab/>
            </w:r>
            <w:r>
              <w:rPr>
                <w:rFonts w:ascii="仿宋" w:hAnsi="仿宋" w:eastAsia="仿宋" w:cs="仿宋"/>
                <w:b w:val="0"/>
                <w:bCs w:val="0"/>
                <w:sz w:val="24"/>
                <w:szCs w:val="24"/>
              </w:rPr>
              <w:tab/>
            </w:r>
            <w:r>
              <w:rPr>
                <w:rFonts w:ascii="仿宋" w:hAnsi="仿宋" w:eastAsia="仿宋" w:cs="仿宋"/>
                <w:b w:val="0"/>
                <w:bCs w:val="0"/>
                <w:sz w:val="24"/>
                <w:szCs w:val="24"/>
              </w:rPr>
              <w:tab/>
            </w:r>
          </w:p>
          <w:p>
            <w:pPr>
              <w:pStyle w:val="9"/>
              <w:rPr>
                <w:rFonts w:ascii="仿宋" w:hAnsi="仿宋" w:eastAsia="仿宋" w:cs="仿宋"/>
                <w:b w:val="0"/>
                <w:bCs w:val="0"/>
                <w:sz w:val="24"/>
                <w:szCs w:val="24"/>
              </w:rPr>
            </w:pPr>
            <w:r>
              <w:rPr>
                <w:rFonts w:hint="eastAsia" w:ascii="仿宋" w:hAnsi="仿宋" w:eastAsia="仿宋" w:cs="仿宋"/>
                <w:b w:val="0"/>
                <w:bCs w:val="0"/>
                <w:sz w:val="24"/>
                <w:szCs w:val="24"/>
              </w:rPr>
              <w:t>呼兰区教堂广场改造工程。</w:t>
            </w:r>
            <w:r>
              <w:rPr>
                <w:rFonts w:ascii="仿宋" w:hAnsi="仿宋" w:eastAsia="仿宋" w:cs="仿宋"/>
                <w:b w:val="0"/>
                <w:bCs w:val="0"/>
                <w:sz w:val="24"/>
                <w:szCs w:val="24"/>
              </w:rPr>
              <w:t>铺装火烧板、排水设施、照明系统、休闲椅、篮球场改造、自动防冲撞升降系统</w:t>
            </w:r>
            <w:r>
              <w:rPr>
                <w:rFonts w:hint="eastAsia" w:ascii="仿宋" w:hAnsi="仿宋" w:eastAsia="仿宋" w:cs="仿宋"/>
                <w:b w:val="0"/>
                <w:bCs w:val="0"/>
                <w:sz w:val="24"/>
                <w:szCs w:val="24"/>
              </w:rPr>
              <w:t>。</w:t>
            </w:r>
            <w:r>
              <w:rPr>
                <w:rFonts w:ascii="仿宋" w:hAnsi="仿宋" w:eastAsia="仿宋" w:cs="仿宋"/>
                <w:b w:val="0"/>
                <w:bCs w:val="0"/>
                <w:sz w:val="24"/>
                <w:szCs w:val="24"/>
              </w:rPr>
              <w:tab/>
            </w:r>
            <w:r>
              <w:rPr>
                <w:rFonts w:ascii="仿宋" w:hAnsi="仿宋" w:eastAsia="仿宋" w:cs="仿宋"/>
                <w:b w:val="0"/>
                <w:bCs w:val="0"/>
                <w:sz w:val="24"/>
                <w:szCs w:val="24"/>
              </w:rPr>
              <w:tab/>
            </w:r>
            <w:r>
              <w:rPr>
                <w:rFonts w:ascii="仿宋" w:hAnsi="仿宋" w:eastAsia="仿宋" w:cs="仿宋"/>
                <w:b w:val="0"/>
                <w:bCs w:val="0"/>
                <w:sz w:val="24"/>
                <w:szCs w:val="24"/>
              </w:rPr>
              <w:tab/>
            </w:r>
            <w:r>
              <w:rPr>
                <w:rFonts w:ascii="仿宋" w:hAnsi="仿宋" w:eastAsia="仿宋" w:cs="仿宋"/>
                <w:b w:val="0"/>
                <w:bCs w:val="0"/>
                <w:sz w:val="24"/>
                <w:szCs w:val="24"/>
              </w:rPr>
              <w:tab/>
            </w:r>
            <w:r>
              <w:rPr>
                <w:rFonts w:ascii="仿宋" w:hAnsi="仿宋" w:eastAsia="仿宋" w:cs="仿宋"/>
                <w:b w:val="0"/>
                <w:bCs w:val="0"/>
                <w:sz w:val="24"/>
                <w:szCs w:val="24"/>
              </w:rPr>
              <w:tab/>
            </w:r>
          </w:p>
          <w:p>
            <w:pPr>
              <w:pStyle w:val="9"/>
              <w:rPr>
                <w:rFonts w:ascii="仿宋" w:hAnsi="仿宋" w:eastAsia="仿宋" w:cs="仿宋"/>
                <w:b w:val="0"/>
                <w:bCs w:val="0"/>
                <w:sz w:val="24"/>
                <w:szCs w:val="24"/>
              </w:rPr>
            </w:pPr>
            <w:r>
              <w:rPr>
                <w:rFonts w:ascii="仿宋" w:hAnsi="仿宋" w:eastAsia="仿宋" w:cs="仿宋"/>
                <w:b w:val="0"/>
                <w:bCs w:val="0"/>
                <w:sz w:val="24"/>
                <w:szCs w:val="24"/>
              </w:rPr>
              <w:t>呼兰区站前广场维修工程</w:t>
            </w:r>
            <w:r>
              <w:rPr>
                <w:rFonts w:hint="eastAsia" w:ascii="仿宋" w:hAnsi="仿宋" w:eastAsia="仿宋" w:cs="仿宋"/>
                <w:b w:val="0"/>
                <w:bCs w:val="0"/>
                <w:sz w:val="24"/>
                <w:szCs w:val="24"/>
              </w:rPr>
              <w:t>。</w:t>
            </w:r>
            <w:r>
              <w:rPr>
                <w:rFonts w:ascii="仿宋" w:hAnsi="仿宋" w:eastAsia="仿宋" w:cs="仿宋"/>
                <w:b w:val="0"/>
                <w:bCs w:val="0"/>
                <w:sz w:val="24"/>
                <w:szCs w:val="24"/>
              </w:rPr>
              <w:t>拆除火烧板6042.04</w:t>
            </w:r>
            <w:r>
              <w:rPr>
                <w:rFonts w:hint="eastAsia" w:ascii="仿宋" w:hAnsi="仿宋" w:eastAsia="仿宋" w:cs="仿宋"/>
                <w:b w:val="0"/>
                <w:bCs w:val="0"/>
                <w:sz w:val="24"/>
                <w:szCs w:val="24"/>
                <w:lang w:eastAsia="zh-CN"/>
              </w:rPr>
              <w:t>平方米</w:t>
            </w:r>
            <w:r>
              <w:rPr>
                <w:rFonts w:ascii="仿宋" w:hAnsi="仿宋" w:eastAsia="仿宋" w:cs="仿宋"/>
                <w:b w:val="0"/>
                <w:bCs w:val="0"/>
                <w:sz w:val="24"/>
                <w:szCs w:val="24"/>
              </w:rPr>
              <w:t>，增设树池花坛、排水设施、绿化、照明、休闲椅</w:t>
            </w:r>
            <w:r>
              <w:rPr>
                <w:rFonts w:hint="eastAsia" w:ascii="仿宋" w:hAnsi="仿宋" w:eastAsia="仿宋" w:cs="仿宋"/>
                <w:b w:val="0"/>
                <w:bCs w:val="0"/>
                <w:sz w:val="24"/>
                <w:szCs w:val="24"/>
              </w:rPr>
              <w:t>。</w:t>
            </w:r>
            <w:r>
              <w:rPr>
                <w:rFonts w:ascii="仿宋" w:hAnsi="仿宋" w:eastAsia="仿宋" w:cs="仿宋"/>
                <w:b w:val="0"/>
                <w:bCs w:val="0"/>
                <w:sz w:val="24"/>
                <w:szCs w:val="24"/>
              </w:rPr>
              <w:tab/>
            </w:r>
            <w:r>
              <w:rPr>
                <w:rFonts w:ascii="仿宋" w:hAnsi="仿宋" w:eastAsia="仿宋" w:cs="仿宋"/>
                <w:b w:val="0"/>
                <w:bCs w:val="0"/>
                <w:sz w:val="24"/>
                <w:szCs w:val="24"/>
              </w:rPr>
              <w:tab/>
            </w:r>
            <w:r>
              <w:rPr>
                <w:rFonts w:ascii="仿宋" w:hAnsi="仿宋" w:eastAsia="仿宋" w:cs="仿宋"/>
                <w:b w:val="0"/>
                <w:bCs w:val="0"/>
                <w:sz w:val="24"/>
                <w:szCs w:val="24"/>
              </w:rPr>
              <w:tab/>
            </w:r>
            <w:r>
              <w:rPr>
                <w:rFonts w:ascii="仿宋" w:hAnsi="仿宋" w:eastAsia="仿宋" w:cs="仿宋"/>
                <w:b w:val="0"/>
                <w:bCs w:val="0"/>
                <w:sz w:val="24"/>
                <w:szCs w:val="24"/>
              </w:rPr>
              <w:tab/>
            </w:r>
            <w:r>
              <w:rPr>
                <w:rFonts w:ascii="仿宋" w:hAnsi="仿宋" w:eastAsia="仿宋" w:cs="仿宋"/>
                <w:b w:val="0"/>
                <w:bCs w:val="0"/>
                <w:sz w:val="24"/>
                <w:szCs w:val="24"/>
              </w:rPr>
              <w:tab/>
            </w:r>
          </w:p>
          <w:p>
            <w:pPr>
              <w:pStyle w:val="9"/>
              <w:rPr>
                <w:rFonts w:ascii="仿宋" w:hAnsi="仿宋" w:eastAsia="仿宋" w:cs="仿宋"/>
                <w:b w:val="0"/>
                <w:bCs w:val="0"/>
                <w:sz w:val="24"/>
                <w:szCs w:val="24"/>
              </w:rPr>
            </w:pPr>
            <w:r>
              <w:rPr>
                <w:rFonts w:hint="eastAsia" w:ascii="仿宋" w:hAnsi="仿宋" w:eastAsia="仿宋" w:cs="仿宋"/>
                <w:b w:val="0"/>
                <w:bCs w:val="0"/>
                <w:sz w:val="24"/>
                <w:szCs w:val="24"/>
              </w:rPr>
              <w:t>建制村通双车道公路。</w:t>
            </w:r>
            <w:r>
              <w:rPr>
                <w:rFonts w:ascii="仿宋" w:hAnsi="仿宋" w:eastAsia="仿宋" w:cs="仿宋"/>
                <w:b w:val="0"/>
                <w:bCs w:val="0"/>
                <w:sz w:val="24"/>
                <w:szCs w:val="24"/>
              </w:rPr>
              <w:t>建设农村公路124.9公</w:t>
            </w:r>
            <w:r>
              <w:rPr>
                <w:rFonts w:hint="eastAsia" w:ascii="仿宋" w:hAnsi="仿宋" w:eastAsia="仿宋" w:cs="仿宋"/>
                <w:b w:val="0"/>
                <w:bCs w:val="0"/>
                <w:sz w:val="24"/>
                <w:szCs w:val="24"/>
              </w:rPr>
              <w:t>里</w:t>
            </w:r>
            <w:r>
              <w:rPr>
                <w:rFonts w:ascii="仿宋" w:hAnsi="仿宋" w:eastAsia="仿宋" w:cs="仿宋"/>
                <w:b w:val="0"/>
                <w:bCs w:val="0"/>
                <w:sz w:val="24"/>
                <w:szCs w:val="24"/>
              </w:rPr>
              <w:t>。</w:t>
            </w:r>
          </w:p>
          <w:p>
            <w:pPr>
              <w:pStyle w:val="9"/>
              <w:rPr>
                <w:rFonts w:ascii="仿宋" w:hAnsi="仿宋" w:eastAsia="仿宋" w:cs="仿宋"/>
                <w:b w:val="0"/>
                <w:bCs w:val="0"/>
                <w:sz w:val="24"/>
                <w:szCs w:val="24"/>
              </w:rPr>
            </w:pPr>
            <w:r>
              <w:rPr>
                <w:rFonts w:hint="eastAsia" w:ascii="仿宋" w:hAnsi="仿宋" w:eastAsia="仿宋" w:cs="仿宋"/>
                <w:b w:val="0"/>
                <w:bCs w:val="0"/>
                <w:sz w:val="24"/>
                <w:szCs w:val="24"/>
              </w:rPr>
              <w:t>较大人口自然村通硬化路。</w:t>
            </w:r>
            <w:r>
              <w:rPr>
                <w:rFonts w:ascii="仿宋" w:hAnsi="仿宋" w:eastAsia="仿宋" w:cs="仿宋"/>
                <w:b w:val="0"/>
                <w:bCs w:val="0"/>
                <w:sz w:val="24"/>
                <w:szCs w:val="24"/>
              </w:rPr>
              <w:t>建设农村公路49.69公里。</w:t>
            </w:r>
            <w:r>
              <w:rPr>
                <w:rFonts w:ascii="仿宋" w:hAnsi="仿宋" w:eastAsia="仿宋" w:cs="仿宋"/>
                <w:b w:val="0"/>
                <w:bCs w:val="0"/>
                <w:sz w:val="24"/>
                <w:szCs w:val="24"/>
              </w:rPr>
              <w:tab/>
            </w:r>
            <w:r>
              <w:rPr>
                <w:rFonts w:ascii="仿宋" w:hAnsi="仿宋" w:eastAsia="仿宋" w:cs="仿宋"/>
                <w:b w:val="0"/>
                <w:bCs w:val="0"/>
                <w:sz w:val="24"/>
                <w:szCs w:val="24"/>
              </w:rPr>
              <w:tab/>
            </w:r>
            <w:r>
              <w:rPr>
                <w:rFonts w:ascii="仿宋" w:hAnsi="仿宋" w:eastAsia="仿宋" w:cs="仿宋"/>
                <w:b w:val="0"/>
                <w:bCs w:val="0"/>
                <w:sz w:val="24"/>
                <w:szCs w:val="24"/>
              </w:rPr>
              <w:tab/>
            </w:r>
          </w:p>
        </w:tc>
      </w:tr>
    </w:tbl>
    <w:p>
      <w:pPr>
        <w:rPr>
          <w:b w:val="0"/>
          <w:bCs w:val="0"/>
        </w:rPr>
      </w:pP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43" w:name="_Toc4760"/>
      <w:r>
        <w:rPr>
          <w:rFonts w:hint="eastAsia" w:ascii="黑体" w:hAnsi="黑体" w:eastAsia="黑体" w:cs="仿宋"/>
          <w:b w:val="0"/>
          <w:bCs w:val="0"/>
          <w:sz w:val="32"/>
          <w:szCs w:val="32"/>
        </w:rPr>
        <w:t>第二节 完善城市新型基础设施配套功能</w:t>
      </w:r>
      <w:bookmarkEnd w:id="43"/>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完善城市生活设施配套建设。</w:t>
      </w:r>
      <w:r>
        <w:rPr>
          <w:rFonts w:hint="eastAsia" w:ascii="仿宋_GB2312" w:hAnsi="仿宋" w:eastAsia="仿宋_GB2312" w:cs="仿宋"/>
          <w:b w:val="0"/>
          <w:bCs w:val="0"/>
          <w:sz w:val="32"/>
          <w:szCs w:val="32"/>
        </w:rPr>
        <w:t>加大城市基础设施改造力度和市政管网建设，建设天然气压缩母站，实施第三发电厂火电及供热、呼兰和长岭供热管网升级改造项目。落实停车场规划建设，争取三年内完成一批公共停车场设施建设，加快城市停车设施规划建设和弹性停车、共享停车等停车管理相关政策文件出台，严格落实建筑物配建停车位有关标准要求，探索城区应急车道设施规划建设工作。加快实施老旧小区人居环境整治、棚户区改造、消防设施改造和打通消防车通道工程。实施防灾减灾工程，完善排水防涝和防洪设施，提升预报预警、指挥调度、应急抢险等防洪减灾能力。结合城市基础设施建设、新型城镇化建设、老旧小区改造、城镇棚户区改造等，同步实施公共场所无障碍改造。升级改造消防设施，推动落实基层消防安全管理措施，有效改善消防安全条件。加强城市消防水源建设，将市政消火栓和消防水鹤纳入城乡建设规划中，争取在“十四五”期间按一个乡镇街道一个小型消防站的标准完成建设。加强城市配电网建设，实现城乡整体规划和各电压等级协调配备。健全社区公共服务设施，提升社区服务功能。加快城乡环卫一体化进程。</w:t>
      </w:r>
    </w:p>
    <w:tbl>
      <w:tblPr>
        <w:tblStyle w:val="6"/>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759" w:type="dxa"/>
            <w:noWrap w:val="0"/>
            <w:vAlign w:val="top"/>
          </w:tcPr>
          <w:p>
            <w:pPr>
              <w:spacing w:before="240" w:after="240"/>
              <w:jc w:val="center"/>
              <w:outlineLvl w:val="5"/>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专栏</w:t>
            </w:r>
            <w:r>
              <w:rPr>
                <w:rFonts w:ascii="仿宋_GB2312" w:hAnsi="仿宋" w:eastAsia="仿宋_GB2312" w:cs="仿宋"/>
                <w:b w:val="0"/>
                <w:bCs w:val="0"/>
                <w:sz w:val="24"/>
                <w:szCs w:val="24"/>
              </w:rPr>
              <w:t xml:space="preserve">12 </w:t>
            </w:r>
            <w:r>
              <w:rPr>
                <w:rFonts w:hint="eastAsia" w:ascii="仿宋_GB2312" w:hAnsi="仿宋" w:eastAsia="仿宋_GB2312" w:cs="仿宋"/>
                <w:b w:val="0"/>
                <w:bCs w:val="0"/>
                <w:sz w:val="24"/>
                <w:szCs w:val="24"/>
              </w:rPr>
              <w:t>基础设施重点工程项目</w:t>
            </w:r>
          </w:p>
          <w:p>
            <w:pPr>
              <w:jc w:val="left"/>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日产20万立方米天然气压缩母站建设项目。占地面积1万平方米，建筑面积0.5万平方米，建设天然气压缩储运设施，日产天然气20万立方米。</w:t>
            </w:r>
          </w:p>
          <w:p>
            <w:pPr>
              <w:jc w:val="left"/>
              <w:outlineLvl w:val="5"/>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火电及供热基础设施升级改造项目。对主机通流部分进行改造，对采暖供热机组及工业供汽热源进行优化；采取固定墩架空方式，新敷设一路DN1200管网作为备用；对老化管线跟新改造，满足供热需求。</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呼兰区二次供水设施改造工程项目。改造二次加压泵站25座。加压泵房改造及新建45座，改造二级供水管网。</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呼兰区自来水公司第二水厂改造工程项目。</w:t>
            </w:r>
            <w:r>
              <w:rPr>
                <w:rFonts w:ascii="仿宋_GB2312" w:hAnsi="仿宋" w:eastAsia="仿宋_GB2312" w:cs="仿宋"/>
                <w:b w:val="0"/>
                <w:bCs w:val="0"/>
                <w:sz w:val="24"/>
                <w:szCs w:val="24"/>
              </w:rPr>
              <w:t>规划用地面积43596.63</w:t>
            </w:r>
            <w:r>
              <w:rPr>
                <w:rFonts w:hint="eastAsia" w:ascii="仿宋_GB2312" w:hAnsi="仿宋" w:eastAsia="仿宋_GB2312" w:cs="仿宋"/>
                <w:b w:val="0"/>
                <w:bCs w:val="0"/>
                <w:sz w:val="24"/>
                <w:szCs w:val="24"/>
                <w:lang w:eastAsia="zh-CN"/>
              </w:rPr>
              <w:t>平方米</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建筑面积3469.2平方米。新建日处理1万吨除铁、锰处理间一座，新建日处理能力2万吨去除氨氮工艺及日处理1万吨去除硬度工艺深度处理间一座，并对水厂原处理间外墙修复加固，原加压泵房技术改造。</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供热管网升级改造项目。新建供热一次网12667米，改造供热一次网130米，新增及改造一次网阀门88个，增加主干线计量装置两处；改造供热二级网12668米，二级网阀门改造4364个。新建热力站28座， 现有46座热力站进行升级改造，改造内容主要有设备、阀门的更换；增设水处理装置；增加流量计量装置；部分增加远程控制系统。</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长岭集中供热管网铺设工程。在长岭街区设置集中供热锅炉厂，将全街9个行政区19个自然屯4882户住房面积约40万平方米，境内工商企业50余户，有厂房和办公业务用房，约12万平方米的分散供热，全部转换成集中供热，并为农业温棚供热15万平方米、为生产企业提供蒸汽15蒸吨。建设3×14MW生物质循环流化床锅炉及配套设施，铺设供热主管道约30公里，支管道和入户管道约70公里，供热面积60万平方米。</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人民广场升级改造及地下商场停车场建设工程。人民广场升级改造工程、对现有的广场进行升级改造，其中包括广场四周人行道、路灯、卫生间、桌椅及广场的整体布局进行改造。升级改造面积约为11904</w:t>
            </w:r>
            <w:r>
              <w:rPr>
                <w:rFonts w:hint="eastAsia" w:ascii="仿宋_GB2312" w:hAnsi="仿宋" w:eastAsia="仿宋_GB2312" w:cs="仿宋"/>
                <w:b w:val="0"/>
                <w:bCs w:val="0"/>
                <w:sz w:val="24"/>
                <w:szCs w:val="24"/>
                <w:lang w:eastAsia="zh-CN"/>
              </w:rPr>
              <w:t>平方米</w:t>
            </w:r>
            <w:r>
              <w:rPr>
                <w:rFonts w:hint="eastAsia" w:ascii="仿宋_GB2312" w:hAnsi="仿宋" w:eastAsia="仿宋_GB2312" w:cs="仿宋"/>
                <w:b w:val="0"/>
                <w:bCs w:val="0"/>
                <w:sz w:val="24"/>
                <w:szCs w:val="24"/>
              </w:rPr>
              <w:t>。地下停车场建设工程项目地点位于东起南二道街、南起东府路西段、西起南大街北段，围合区域目前人民广场平面面积为14508</w:t>
            </w:r>
            <w:r>
              <w:rPr>
                <w:rFonts w:hint="eastAsia" w:ascii="仿宋_GB2312" w:hAnsi="仿宋" w:eastAsia="仿宋_GB2312" w:cs="仿宋"/>
                <w:b w:val="0"/>
                <w:bCs w:val="0"/>
                <w:sz w:val="24"/>
                <w:szCs w:val="24"/>
                <w:lang w:eastAsia="zh-CN"/>
              </w:rPr>
              <w:t>平方米</w:t>
            </w:r>
            <w:r>
              <w:rPr>
                <w:rFonts w:hint="eastAsia" w:ascii="仿宋_GB2312" w:hAnsi="仿宋" w:eastAsia="仿宋_GB2312" w:cs="仿宋"/>
                <w:b w:val="0"/>
                <w:bCs w:val="0"/>
                <w:sz w:val="24"/>
                <w:szCs w:val="24"/>
              </w:rPr>
              <w:t>，拟建地下停车场三层，主体结构采取混凝土结构，建设城市智能停车场，按照全自动停车方式，三层最少可停车1500台，拟增加停车泊位1500个。</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一排干清淤储量底泥资源化利用处理工程。</w:t>
            </w:r>
            <w:r>
              <w:rPr>
                <w:rFonts w:ascii="仿宋_GB2312" w:hAnsi="仿宋" w:eastAsia="仿宋_GB2312" w:cs="仿宋"/>
                <w:b w:val="0"/>
                <w:bCs w:val="0"/>
                <w:sz w:val="24"/>
                <w:szCs w:val="24"/>
              </w:rPr>
              <w:t>一排干指挥部将一排干清淤出的12万吨底泥通过化学原理按照减量化、无害化、资源化原则，采用动态耗氧发酵工艺生产园林绿化土</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p>
          <w:p>
            <w:pPr>
              <w:pStyle w:val="9"/>
              <w:rPr>
                <w:rFonts w:ascii="仿宋_GB2312" w:hAnsi="仿宋" w:eastAsia="仿宋_GB2312" w:cs="仿宋"/>
                <w:b w:val="0"/>
                <w:bCs w:val="0"/>
                <w:sz w:val="24"/>
                <w:szCs w:val="24"/>
              </w:rPr>
            </w:pPr>
            <w:r>
              <w:rPr>
                <w:rFonts w:ascii="仿宋_GB2312" w:hAnsi="仿宋" w:eastAsia="仿宋_GB2312" w:cs="仿宋"/>
                <w:b w:val="0"/>
                <w:bCs w:val="0"/>
                <w:sz w:val="24"/>
                <w:szCs w:val="24"/>
              </w:rPr>
              <w:t>20座公厕建设项目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建设公厕20座，其中新建16座，旱改水4座，公厕面积100平方米以内，涉及中医院楼、中行楼等15个小区。</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康金街道前进村存量垃圾填埋场治理项目。</w:t>
            </w:r>
            <w:r>
              <w:rPr>
                <w:rFonts w:ascii="仿宋_GB2312" w:hAnsi="仿宋" w:eastAsia="仿宋_GB2312" w:cs="仿宋"/>
                <w:b w:val="0"/>
                <w:bCs w:val="0"/>
                <w:sz w:val="24"/>
                <w:szCs w:val="24"/>
              </w:rPr>
              <w:t>场地整理工程7.6万立方米、防渗工程0.53万平方米、渗滤液处理工程总量约18万吨、清淤工程1.9万立方米、垃圾治理约8万平方米、封场0</w:t>
            </w:r>
            <w:r>
              <w:rPr>
                <w:rFonts w:hint="eastAsia" w:ascii="仿宋_GB2312" w:hAnsi="仿宋" w:eastAsia="仿宋_GB2312" w:cs="仿宋"/>
                <w:b w:val="0"/>
                <w:bCs w:val="0"/>
                <w:sz w:val="24"/>
                <w:szCs w:val="24"/>
                <w:lang w:val="en-US" w:eastAsia="zh-CN"/>
              </w:rPr>
              <w:t>.</w:t>
            </w:r>
            <w:r>
              <w:rPr>
                <w:rFonts w:ascii="仿宋_GB2312" w:hAnsi="仿宋" w:eastAsia="仿宋_GB2312" w:cs="仿宋"/>
                <w:b w:val="0"/>
                <w:bCs w:val="0"/>
                <w:sz w:val="24"/>
                <w:szCs w:val="24"/>
              </w:rPr>
              <w:t>9万立方米、监测井2座。建设内容包括渗滤液治理、垃圾倒运、防渗、垃圾分选、土方回填、场地平整与恢复、尾水处理等。</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长岭街道扩建水厂增设供水管网工程项目。</w:t>
            </w:r>
            <w:r>
              <w:rPr>
                <w:rFonts w:ascii="仿宋_GB2312" w:hAnsi="仿宋" w:eastAsia="仿宋_GB2312" w:cs="仿宋"/>
                <w:b w:val="0"/>
                <w:bCs w:val="0"/>
                <w:sz w:val="24"/>
                <w:szCs w:val="24"/>
              </w:rPr>
              <w:t>扩建1500吨日供水系统、增铺管网20公里。</w:t>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老旧供水干线改造工程。</w:t>
            </w:r>
            <w:r>
              <w:rPr>
                <w:rFonts w:ascii="仿宋_GB2312" w:hAnsi="仿宋" w:eastAsia="仿宋_GB2312" w:cs="仿宋"/>
                <w:b w:val="0"/>
                <w:bCs w:val="0"/>
                <w:sz w:val="24"/>
                <w:szCs w:val="24"/>
              </w:rPr>
              <w:t>改造管线32725米（2000年至今老旧管线），管径为DN100mm---DN400mm。</w:t>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排水防内涝工程项目。</w:t>
            </w:r>
            <w:r>
              <w:rPr>
                <w:rFonts w:ascii="仿宋_GB2312" w:hAnsi="仿宋" w:eastAsia="仿宋_GB2312" w:cs="仿宋"/>
                <w:b w:val="0"/>
                <w:bCs w:val="0"/>
                <w:sz w:val="24"/>
                <w:szCs w:val="24"/>
              </w:rPr>
              <w:t>1.改建城市排水主干线21.4公里，包括改建污水管线，新建雨水管线。2.新建乡镇污水管线26公里。3.新建提升泵站2座。</w:t>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生活垃圾压缩中转站及环卫车库建设项目。</w:t>
            </w:r>
            <w:r>
              <w:rPr>
                <w:rFonts w:ascii="仿宋_GB2312" w:hAnsi="仿宋" w:eastAsia="仿宋_GB2312" w:cs="仿宋"/>
                <w:b w:val="0"/>
                <w:bCs w:val="0"/>
                <w:sz w:val="24"/>
                <w:szCs w:val="24"/>
              </w:rPr>
              <w:t>占地4万平方米，新建大型压缩中转站1座，及环卫车库建设。</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日产</w:t>
            </w:r>
            <w:r>
              <w:rPr>
                <w:rFonts w:ascii="仿宋_GB2312" w:hAnsi="仿宋" w:eastAsia="仿宋_GB2312" w:cs="仿宋"/>
                <w:b w:val="0"/>
                <w:bCs w:val="0"/>
                <w:sz w:val="24"/>
                <w:szCs w:val="24"/>
              </w:rPr>
              <w:t>10万立方米天然气压缩母站建设项目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建筑面积0.5万平方米，建设天然气压缩储运设施，建成后日产天然气10万立方</w:t>
            </w:r>
            <w:r>
              <w:rPr>
                <w:rFonts w:hint="eastAsia" w:ascii="仿宋_GB2312" w:hAnsi="仿宋" w:eastAsia="仿宋_GB2312" w:cs="仿宋"/>
                <w:b w:val="0"/>
                <w:bCs w:val="0"/>
                <w:sz w:val="24"/>
                <w:szCs w:val="24"/>
                <w:lang w:eastAsia="zh-CN"/>
              </w:rPr>
              <w:t>米。</w:t>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日产</w:t>
            </w:r>
            <w:r>
              <w:rPr>
                <w:rFonts w:ascii="仿宋_GB2312" w:hAnsi="仿宋" w:eastAsia="仿宋_GB2312" w:cs="仿宋"/>
                <w:b w:val="0"/>
                <w:bCs w:val="0"/>
                <w:sz w:val="24"/>
                <w:szCs w:val="24"/>
              </w:rPr>
              <w:t>20万立方米天然气压缩母站建设项目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建筑面积0.5万平方米，建设天然气压缩储运设施，建成后日产天然气20万立方米</w:t>
            </w:r>
            <w:r>
              <w:rPr>
                <w:rFonts w:ascii="仿宋_GB2312" w:hAnsi="仿宋" w:eastAsia="仿宋_GB2312" w:cs="仿宋"/>
                <w:b w:val="0"/>
                <w:bCs w:val="0"/>
                <w:sz w:val="24"/>
                <w:szCs w:val="24"/>
              </w:rPr>
              <w:tab/>
            </w:r>
            <w:r>
              <w:rPr>
                <w:rFonts w:hint="eastAsia" w:ascii="仿宋_GB2312" w:hAnsi="仿宋" w:eastAsia="仿宋_GB2312" w:cs="仿宋"/>
                <w:b w:val="0"/>
                <w:bCs w:val="0"/>
                <w:sz w:val="24"/>
                <w:szCs w:val="24"/>
              </w:rPr>
              <w:t>。</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天然气液化、储气调峰站项目。</w:t>
            </w:r>
            <w:r>
              <w:rPr>
                <w:rFonts w:ascii="仿宋_GB2312" w:hAnsi="仿宋" w:eastAsia="仿宋_GB2312" w:cs="仿宋"/>
                <w:b w:val="0"/>
                <w:bCs w:val="0"/>
                <w:sz w:val="24"/>
                <w:szCs w:val="24"/>
              </w:rPr>
              <w:t>建设2台20000立方米常压全容储罐（LNG液化装置、LNG气化装置），开展天然气液化储存销售业务。拟占地面积 12万平方米，总建筑面积21541平方米。</w:t>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呼兰区餐厨垃圾处理厂</w:t>
            </w:r>
            <w:r>
              <w:rPr>
                <w:rFonts w:ascii="仿宋_GB2312" w:hAnsi="仿宋" w:eastAsia="仿宋_GB2312" w:cs="仿宋"/>
                <w:b w:val="0"/>
                <w:bCs w:val="0"/>
                <w:sz w:val="24"/>
                <w:szCs w:val="24"/>
              </w:rPr>
              <w:t>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新建餐厨垃圾处理厂</w:t>
            </w:r>
            <w:r>
              <w:rPr>
                <w:rFonts w:hint="eastAsia" w:ascii="仿宋_GB2312" w:hAnsi="仿宋" w:eastAsia="仿宋_GB2312" w:cs="仿宋"/>
                <w:b w:val="0"/>
                <w:bCs w:val="0"/>
                <w:sz w:val="24"/>
                <w:szCs w:val="24"/>
              </w:rPr>
              <w:t>。</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呼兰区危废垃圾处理厂</w:t>
            </w:r>
            <w:r>
              <w:rPr>
                <w:rFonts w:ascii="仿宋_GB2312" w:hAnsi="仿宋" w:eastAsia="仿宋_GB2312" w:cs="仿宋"/>
                <w:b w:val="0"/>
                <w:bCs w:val="0"/>
                <w:sz w:val="24"/>
                <w:szCs w:val="24"/>
              </w:rPr>
              <w:t>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新建危废垃圾处理厂</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p>
        </w:tc>
      </w:tr>
    </w:tbl>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 w:eastAsia="仿宋_GB2312" w:cs="仿宋"/>
          <w:b w:val="0"/>
          <w:bCs w:val="0"/>
          <w:color w:val="auto"/>
          <w:sz w:val="32"/>
          <w:szCs w:val="32"/>
        </w:rPr>
      </w:pPr>
      <w:r>
        <w:rPr>
          <w:rFonts w:hint="eastAsia" w:ascii="楷体" w:hAnsi="楷体" w:eastAsia="楷体" w:cs="仿宋"/>
          <w:b w:val="0"/>
          <w:bCs w:val="0"/>
          <w:color w:val="auto"/>
          <w:sz w:val="32"/>
          <w:szCs w:val="32"/>
        </w:rPr>
        <w:t>推进智慧城市建设。</w:t>
      </w:r>
      <w:r>
        <w:rPr>
          <w:rFonts w:hint="eastAsia" w:ascii="仿宋_GB2312" w:hAnsi="仿宋" w:eastAsia="仿宋_GB2312" w:cs="仿宋"/>
          <w:b w:val="0"/>
          <w:bCs w:val="0"/>
          <w:color w:val="auto"/>
          <w:sz w:val="32"/>
          <w:szCs w:val="32"/>
        </w:rPr>
        <w:t>推动呼兰经济社会发展向数字化全面转型。构建智慧政务公共服务体系，完善智能的城市公共安全体系和安全生产体系，建设安全生产综合监管信息化平台。强化信息化平台建设，加快农业农村信息资源数据研制、开发和利用，健全农业信息收集和发布体系，实现涉农数据兼容共享。将消防安全管理模块嵌入基层综合治理平台和信息化指挥平台，探索城市物联网消防远程监控系统建设，“智慧”社会消防安全管理系统建设，高层住宅智能消防预警系统建设。加快发展新基建，合理规划布局新能源汽车充电设施，推动5G基站在城区和重点乡镇全覆盖。</w:t>
      </w:r>
    </w:p>
    <w:tbl>
      <w:tblPr>
        <w:tblStyle w:val="6"/>
        <w:tblW w:w="8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41" w:type="dxa"/>
            <w:noWrap w:val="0"/>
            <w:vAlign w:val="top"/>
          </w:tcPr>
          <w:p>
            <w:pPr>
              <w:spacing w:before="240" w:after="240"/>
              <w:jc w:val="center"/>
              <w:outlineLvl w:val="5"/>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专栏</w:t>
            </w:r>
            <w:r>
              <w:rPr>
                <w:rFonts w:ascii="仿宋_GB2312" w:hAnsi="仿宋" w:eastAsia="仿宋_GB2312" w:cs="仿宋"/>
                <w:b w:val="0"/>
                <w:bCs w:val="0"/>
                <w:sz w:val="24"/>
                <w:szCs w:val="24"/>
              </w:rPr>
              <w:t xml:space="preserve">13 </w:t>
            </w:r>
            <w:r>
              <w:rPr>
                <w:rFonts w:hint="eastAsia" w:ascii="仿宋_GB2312" w:hAnsi="仿宋" w:eastAsia="仿宋_GB2312" w:cs="仿宋"/>
                <w:b w:val="0"/>
                <w:bCs w:val="0"/>
                <w:sz w:val="24"/>
                <w:szCs w:val="24"/>
              </w:rPr>
              <w:t>智慧城市重点工程项目</w:t>
            </w:r>
          </w:p>
          <w:p>
            <w:pPr>
              <w:adjustRightInd w:val="0"/>
              <w:snapToGrid w:val="0"/>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智慧呼兰指挥中心。农村产权交易(智慧农业）平台建设；智慧呼兰指挥中心：强弱电机房150平方米，指挥大厅350平方米，功能区500平方米。拟投资完善项目装修及设备安装，组织筹建智慧呼兰指挥中心，全方位、多层次、多角度展示、分析、管理全区综合动态情况，开展情报研判、联合指挥等工作。</w:t>
            </w:r>
          </w:p>
        </w:tc>
      </w:tr>
    </w:tbl>
    <w:p>
      <w:pPr>
        <w:rPr>
          <w:rFonts w:hint="eastAsia"/>
          <w:b w:val="0"/>
          <w:bCs w:val="0"/>
        </w:rPr>
      </w:pPr>
      <w:bookmarkStart w:id="44" w:name="_Toc12185"/>
    </w:p>
    <w:p>
      <w:pPr>
        <w:keepNext w:val="0"/>
        <w:keepLines w:val="0"/>
        <w:pageBreakBefore w:val="0"/>
        <w:widowControl w:val="0"/>
        <w:kinsoku/>
        <w:wordWrap/>
        <w:overflowPunct/>
        <w:topLinePunct w:val="0"/>
        <w:bidi w:val="0"/>
        <w:adjustRightInd/>
        <w:snapToGrid/>
        <w:spacing w:line="600" w:lineRule="exact"/>
        <w:jc w:val="center"/>
        <w:textAlignment w:val="auto"/>
        <w:outlineLvl w:val="0"/>
        <w:rPr>
          <w:rFonts w:hint="eastAsia" w:ascii="黑体" w:hAnsi="黑体" w:eastAsia="黑体" w:cs="黑体"/>
          <w:b w:val="0"/>
          <w:bCs w:val="0"/>
          <w:sz w:val="32"/>
          <w:szCs w:val="32"/>
        </w:rPr>
      </w:pPr>
      <w:bookmarkStart w:id="45" w:name="_Toc16438"/>
      <w:r>
        <w:rPr>
          <w:rFonts w:hint="eastAsia" w:ascii="黑体" w:hAnsi="黑体" w:eastAsia="黑体" w:cs="黑体"/>
          <w:b w:val="0"/>
          <w:bCs w:val="0"/>
          <w:sz w:val="32"/>
          <w:szCs w:val="32"/>
        </w:rPr>
        <w:t>第九章 构建江河生态新格局</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建设美丽新呼兰</w:t>
      </w:r>
      <w:bookmarkEnd w:id="45"/>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落实绿色发展理念，进一步聚焦生态建设、环境保护与治理、发展循环经济等工作，坚守阵地，细化措施，巩固成果，以生态底色绘就呼兰区未来发展蓝图。</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46" w:name="_Toc1418"/>
      <w:bookmarkStart w:id="47" w:name="_Toc52057477"/>
      <w:r>
        <w:rPr>
          <w:rFonts w:hint="eastAsia" w:ascii="黑体" w:hAnsi="黑体" w:eastAsia="黑体" w:cs="仿宋"/>
          <w:b w:val="0"/>
          <w:bCs w:val="0"/>
          <w:sz w:val="32"/>
          <w:szCs w:val="32"/>
        </w:rPr>
        <w:t>第一节 持续推进生态建设</w:t>
      </w:r>
      <w:bookmarkEnd w:id="46"/>
      <w:bookmarkEnd w:id="47"/>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eastAsia="仿宋_GB2312"/>
          <w:b w:val="0"/>
          <w:bCs w:val="0"/>
        </w:rPr>
      </w:pPr>
      <w:r>
        <w:rPr>
          <w:rFonts w:hint="eastAsia" w:ascii="楷体" w:hAnsi="楷体" w:eastAsia="楷体" w:cs="仿宋"/>
          <w:b w:val="0"/>
          <w:bCs w:val="0"/>
          <w:sz w:val="32"/>
          <w:szCs w:val="32"/>
        </w:rPr>
        <w:t>稳步推进生态保护修复。</w:t>
      </w:r>
      <w:bookmarkStart w:id="48" w:name="_Hlk48499861"/>
      <w:r>
        <w:rPr>
          <w:rFonts w:hint="eastAsia" w:ascii="仿宋_GB2312" w:hAnsi="仿宋" w:eastAsia="仿宋_GB2312" w:cs="仿宋"/>
          <w:b w:val="0"/>
          <w:bCs w:val="0"/>
          <w:sz w:val="32"/>
          <w:szCs w:val="32"/>
        </w:rPr>
        <w:t>深入贯彻生态发展理念，落实节约优先、保护优先、自然恢复为主的方针，统筹山水林田湖草系统治理，严守生态保护红线。开展以小流域为单元的水土流失综合治理，实施呼兰河流域生态保护修复工程、三北防护林体系建设工程和天然林保护工程等重要生态系统保护和修复重大工程，启动松花江呼兰段、呼兰河“智慧水务”项目建设。坚持美丽乡村发展路线，保护好青山绿水，保护好蓝天白云，保护好乡土气息。按照国家生态功能区规划的要求，强化森林、土壤、水、大气等资源保护，打好蓝天保卫战、碧水保卫战、净土保卫战。优先实施重大生态修复工程、生态功能保护区建设工程、黑土地水土流失综合治理工程。</w:t>
      </w:r>
      <w:bookmarkEnd w:id="48"/>
      <w:r>
        <w:rPr>
          <w:rFonts w:hint="eastAsia" w:ascii="仿宋_GB2312" w:hAnsi="仿宋" w:eastAsia="仿宋_GB2312" w:cs="仿宋"/>
          <w:b w:val="0"/>
          <w:bCs w:val="0"/>
          <w:sz w:val="32"/>
          <w:szCs w:val="32"/>
        </w:rPr>
        <w:t>全面排查尾矿、煤矸石、工业副产石膏、粉煤灰、赤泥、冶炼渣、电石渣、铬渣、砷渣以及脱硫、脱硝、除尘等产生工业固体废物的堆存场所，对可能存在土壤污染风险的，制定整治方案并有序实施；加强工业固体废物综合利用，对电子废物、废轮胎、废塑料、镍镉电池、铅酸蓄电池等含重金属废物及火药、炸药生产产生的残余物进行安全处置，防止污染土壤和地下水；深入推进农业“三减”行动，强化畜禽养殖污染防治；严格控制林地、草地、园地农药使用量，禁止使用高毒、高残留农药。</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持续强化环境保护。</w:t>
      </w:r>
      <w:r>
        <w:rPr>
          <w:rFonts w:hint="eastAsia" w:ascii="仿宋_GB2312" w:hAnsi="仿宋" w:eastAsia="仿宋_GB2312" w:cs="仿宋"/>
          <w:b w:val="0"/>
          <w:bCs w:val="0"/>
          <w:sz w:val="32"/>
          <w:szCs w:val="32"/>
        </w:rPr>
        <w:t>强化生态环境质量监测和评估工作，构建生态监测网络和平台。持续开展打击破坏环境资源专项整治行动，坚决遏制资源环境违法犯罪活动。落实城区水系综合整治行动计划，推进城区水系治理项目和流域畜禽养殖、垃圾、违建、农业面源专项整治；着力保护好呼兰河口省级湿地自然保护区；实施“一河一策”、分区(段)负责的河长制流域治污模式；以松花江、呼兰河、漂河、泥河、少陵河流域沿岸及有直接影响的村屯为重点治理区域，到2025年，新建农村生活污水治理设施共计69个，全区69个行政村完成生活污水治理任务，污水处理覆盖率43.7%，达标设施比例达到85%以上，出水达标率达到75%以上。</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持续强化环境治理能力。</w:t>
      </w:r>
      <w:r>
        <w:rPr>
          <w:rFonts w:hint="eastAsia" w:ascii="仿宋_GB2312" w:hAnsi="仿宋" w:eastAsia="仿宋_GB2312" w:cs="仿宋"/>
          <w:b w:val="0"/>
          <w:bCs w:val="0"/>
          <w:sz w:val="32"/>
          <w:szCs w:val="32"/>
        </w:rPr>
        <w:t>打好污染防治攻坚战，强化多污染协同控制和区域协同治理。启动二次供水设施改造项目建设，改造第一污水处理厂，建设农村生活污水治理设施。持续推进城市黑臭水体治理，加快治理水体，实施绿化和景观建设。深入落实“蓝天工程”，全面推进“三重一改”工程，力争基本消除重污染天气。推进土壤污染防治行动，开展土壤污染风险排查，划定农用土壤环境质量类别，加强危险废物医疗废物收集处理。</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49" w:name="_Toc52057478"/>
      <w:bookmarkStart w:id="50" w:name="_Toc30895"/>
      <w:r>
        <w:rPr>
          <w:rFonts w:hint="eastAsia" w:ascii="黑体" w:hAnsi="黑体" w:eastAsia="黑体" w:cs="仿宋"/>
          <w:b w:val="0"/>
          <w:bCs w:val="0"/>
          <w:sz w:val="32"/>
          <w:szCs w:val="32"/>
        </w:rPr>
        <w:t>第二节 打造生态宜居环境</w:t>
      </w:r>
      <w:bookmarkEnd w:id="49"/>
      <w:bookmarkEnd w:id="50"/>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推动资源节约和综合利用。</w:t>
      </w:r>
      <w:r>
        <w:rPr>
          <w:rFonts w:hint="eastAsia" w:ascii="仿宋_GB2312" w:hAnsi="仿宋" w:eastAsia="仿宋_GB2312" w:cs="仿宋"/>
          <w:b w:val="0"/>
          <w:bCs w:val="0"/>
          <w:sz w:val="32"/>
          <w:szCs w:val="32"/>
        </w:rPr>
        <w:t>推广太阳能、风能、生物质能、天然气等能源。</w:t>
      </w:r>
      <w:r>
        <w:rPr>
          <w:rFonts w:hint="eastAsia" w:ascii="仿宋_GB2312" w:hAnsi="仿宋" w:eastAsia="仿宋_GB2312" w:cs="仿宋"/>
          <w:b w:val="0"/>
          <w:bCs w:val="0"/>
          <w:sz w:val="32"/>
          <w:szCs w:val="32"/>
          <w:lang w:val="zh-CN"/>
        </w:rPr>
        <w:t>提高对煤矸石、粉煤灰和炉渣等固体废物的综合利用水平，推进电石渣、脱硫石膏、生活垃圾和污泥等固体废物的无害化处置和</w:t>
      </w:r>
      <w:r>
        <w:rPr>
          <w:rFonts w:hint="eastAsia" w:ascii="仿宋_GB2312" w:hAnsi="仿宋" w:eastAsia="仿宋_GB2312" w:cs="仿宋"/>
          <w:b w:val="0"/>
          <w:bCs w:val="0"/>
          <w:sz w:val="32"/>
          <w:szCs w:val="32"/>
        </w:rPr>
        <w:t>资源化利用</w:t>
      </w:r>
      <w:r>
        <w:rPr>
          <w:rFonts w:hint="eastAsia" w:ascii="仿宋_GB2312" w:hAnsi="仿宋" w:eastAsia="仿宋_GB2312" w:cs="仿宋"/>
          <w:b w:val="0"/>
          <w:bCs w:val="0"/>
          <w:sz w:val="32"/>
          <w:szCs w:val="32"/>
          <w:lang w:val="zh-CN"/>
        </w:rPr>
        <w:t>。</w:t>
      </w:r>
      <w:r>
        <w:rPr>
          <w:rFonts w:hint="eastAsia" w:ascii="仿宋_GB2312" w:hAnsi="仿宋" w:eastAsia="仿宋_GB2312" w:cs="仿宋"/>
          <w:b w:val="0"/>
          <w:bCs w:val="0"/>
          <w:sz w:val="32"/>
          <w:szCs w:val="32"/>
        </w:rPr>
        <w:t>推广机械收获直接粉碎还田、深松整地灭茬还田等技术。引进和培育一批秸秆能源化、燃料化、饲料化等秸秆综合利用项目，充分发挥秸秆转化企业的示范带动效应，实现秸秆资源的转化升值。到2025年末，工业固体废弃物处置利用率达到100%，城镇生活垃圾无害化处理率达到100%，秸秆综合利用率达到95%以上。</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rPr>
      </w:pPr>
      <w:r>
        <w:rPr>
          <w:rFonts w:hint="eastAsia" w:ascii="楷体" w:hAnsi="楷体" w:eastAsia="楷体" w:cs="仿宋"/>
          <w:b w:val="0"/>
          <w:bCs w:val="0"/>
          <w:sz w:val="32"/>
          <w:szCs w:val="32"/>
        </w:rPr>
        <w:t>改善城乡空气环境质量。</w:t>
      </w:r>
      <w:r>
        <w:rPr>
          <w:rFonts w:hint="eastAsia" w:ascii="仿宋_GB2312" w:hAnsi="仿宋" w:eastAsia="仿宋_GB2312" w:cs="仿宋"/>
          <w:b w:val="0"/>
          <w:bCs w:val="0"/>
          <w:sz w:val="32"/>
          <w:szCs w:val="32"/>
        </w:rPr>
        <w:t>坚持秸秆固化燃料等清洁能源替代与散煤限制政策相结合，坚持秸秆固化燃料等清洁能源利用补贴与完善市场相结合，坚持“一家一户一热源”普及与“一村一屯一热源”试点相结合，治理农村燃煤污染；坚持清洁能源为主，禁止使用燃煤，开展城中村散煤污染治理；发挥生物质能供热优势，在终端供热消费领域替代散煤使用带动秸秆禁烧和秸秆资源化利用；继续扩大锅炉淘汰范围，突出重点区域特别是核心区域燃煤锅炉淘汰，实现城区核心区域35蒸吨以下燃煤锅炉“清零”、35（含）至65蒸吨执行特别排放限值；推进现役燃煤电厂完成超低排放改造。</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lang w:val="zh-CN"/>
        </w:rPr>
      </w:pPr>
      <w:r>
        <w:rPr>
          <w:rFonts w:hint="eastAsia" w:ascii="楷体" w:hAnsi="楷体" w:eastAsia="楷体" w:cs="仿宋"/>
          <w:b w:val="0"/>
          <w:bCs w:val="0"/>
          <w:sz w:val="32"/>
          <w:szCs w:val="32"/>
        </w:rPr>
        <w:t>强化推进节能降耗工作。</w:t>
      </w:r>
      <w:r>
        <w:rPr>
          <w:rFonts w:hint="eastAsia" w:ascii="仿宋_GB2312" w:hAnsi="仿宋" w:eastAsia="仿宋_GB2312" w:cs="仿宋"/>
          <w:b w:val="0"/>
          <w:bCs w:val="0"/>
          <w:sz w:val="32"/>
          <w:szCs w:val="32"/>
          <w:lang w:val="zh-CN"/>
        </w:rPr>
        <w:t>深化总量控制制度，推进总量减排，重点实施工业、建筑、公共机构、交通运输等节能工程，积极推进新能源和</w:t>
      </w:r>
      <w:r>
        <w:rPr>
          <w:rFonts w:hint="eastAsia" w:ascii="仿宋_GB2312" w:hAnsi="仿宋" w:eastAsia="仿宋_GB2312" w:cs="仿宋"/>
          <w:b w:val="0"/>
          <w:bCs w:val="0"/>
          <w:sz w:val="32"/>
          <w:szCs w:val="32"/>
        </w:rPr>
        <w:t>可再生能源</w:t>
      </w:r>
      <w:r>
        <w:rPr>
          <w:rFonts w:hint="eastAsia" w:ascii="仿宋_GB2312" w:hAnsi="仿宋" w:eastAsia="仿宋_GB2312" w:cs="仿宋"/>
          <w:b w:val="0"/>
          <w:bCs w:val="0"/>
          <w:sz w:val="32"/>
          <w:szCs w:val="32"/>
          <w:lang w:val="zh-CN"/>
        </w:rPr>
        <w:t>利用等工程。深入开展能源消费总量和强度“双控”行动，推广使用可再生能源，落实节能目标任务，确保万元GDP能耗水平进一步降低。积极向国家和省争取补助和扶持资金，鼓励和扶持通过科技进步和科技创新改造落后生产工艺，从源头减少固体废物的产生量和排放量。</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51" w:name="_Toc52057479"/>
      <w:bookmarkStart w:id="52" w:name="_Toc3277"/>
      <w:r>
        <w:rPr>
          <w:rFonts w:hint="eastAsia" w:ascii="黑体" w:hAnsi="黑体" w:eastAsia="黑体" w:cs="仿宋"/>
          <w:b w:val="0"/>
          <w:bCs w:val="0"/>
          <w:sz w:val="32"/>
          <w:szCs w:val="32"/>
        </w:rPr>
        <w:t>第三节 释放绿色发展</w:t>
      </w:r>
      <w:bookmarkEnd w:id="51"/>
      <w:r>
        <w:rPr>
          <w:rFonts w:hint="eastAsia" w:ascii="黑体" w:hAnsi="黑体" w:eastAsia="黑体" w:cs="仿宋"/>
          <w:b w:val="0"/>
          <w:bCs w:val="0"/>
          <w:sz w:val="32"/>
          <w:szCs w:val="32"/>
        </w:rPr>
        <w:t>新动能</w:t>
      </w:r>
      <w:bookmarkEnd w:id="52"/>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倡导绿色生产生活方式。</w:t>
      </w:r>
      <w:r>
        <w:rPr>
          <w:rFonts w:hint="eastAsia" w:ascii="仿宋_GB2312" w:hAnsi="仿宋" w:eastAsia="仿宋_GB2312" w:cs="仿宋"/>
          <w:b w:val="0"/>
          <w:bCs w:val="0"/>
          <w:sz w:val="32"/>
          <w:szCs w:val="32"/>
        </w:rPr>
        <w:t>推进“绿水青山就是金山银山”生态价值转换。探索政府主导、企业和社会各界参与、市场化运作、可持续的生态产品价值实现路径。加强节能技术改造，推广高效节水技术和产品。加快绿色发展和绿色技术创新，推动绿色环保产业成长为支柱型产业。推广生物质、天然气等清洁能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推进循环经济发展。</w:t>
      </w:r>
      <w:r>
        <w:rPr>
          <w:rFonts w:hint="eastAsia" w:ascii="仿宋_GB2312" w:hAnsi="仿宋" w:eastAsia="仿宋_GB2312" w:cs="仿宋"/>
          <w:b w:val="0"/>
          <w:bCs w:val="0"/>
          <w:sz w:val="32"/>
          <w:szCs w:val="32"/>
        </w:rPr>
        <w:t>以呼兰经开区为载体，进一步促进工业清洁生产，加快节能、环保、减排技术和设备的开发和推广应用。发展节能咨询、合同能源管理等节能服务产业。积极发展农业循环经济，推动畜禽粪便、秸秆等农业废弃物资源化利用进程。鼓励生产和使用有机肥料、生物农药及可降解农用薄膜，推广病虫草害综合防治、生物防治和精准施药等技术。到2025年，规模化畜禽养殖场粪便综合利用率达到</w:t>
      </w:r>
      <w:r>
        <w:rPr>
          <w:rFonts w:ascii="仿宋_GB2312" w:hAnsi="仿宋" w:eastAsia="仿宋_GB2312" w:cs="仿宋"/>
          <w:b w:val="0"/>
          <w:bCs w:val="0"/>
          <w:sz w:val="32"/>
          <w:szCs w:val="32"/>
        </w:rPr>
        <w:t>80</w:t>
      </w:r>
      <w:r>
        <w:rPr>
          <w:rFonts w:hint="eastAsia" w:ascii="仿宋_GB2312" w:hAnsi="仿宋" w:eastAsia="仿宋_GB2312" w:cs="仿宋"/>
          <w:b w:val="0"/>
          <w:bCs w:val="0"/>
          <w:sz w:val="32"/>
          <w:szCs w:val="32"/>
        </w:rPr>
        <w:t>%以上。</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推进低碳城市建设。</w:t>
      </w:r>
      <w:r>
        <w:rPr>
          <w:rFonts w:hint="eastAsia" w:ascii="仿宋_GB2312" w:hAnsi="仿宋" w:eastAsia="仿宋_GB2312" w:cs="仿宋"/>
          <w:b w:val="0"/>
          <w:bCs w:val="0"/>
          <w:sz w:val="32"/>
          <w:szCs w:val="32"/>
        </w:rPr>
        <w:t>实施低碳产业发展战略，大力发展低碳产业、低碳交通、低碳建筑、低碳能源。建立健全促进低碳产业发展、鼓励低碳产品应用的政策法规体系和市场交易体系。引导低碳绿色消费，倡导节俭理性的低碳生活方式,使节能、节水、垃圾分类、资源回收利用逐步成为市民的自觉行动,不断提升城市文明程度。</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28" w:type="dxa"/>
            <w:noWrap w:val="0"/>
            <w:vAlign w:val="top"/>
          </w:tcPr>
          <w:p>
            <w:pPr>
              <w:spacing w:before="240" w:after="240"/>
              <w:jc w:val="center"/>
              <w:outlineLvl w:val="5"/>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专栏</w:t>
            </w:r>
            <w:r>
              <w:rPr>
                <w:rFonts w:ascii="仿宋_GB2312" w:hAnsi="仿宋" w:eastAsia="仿宋_GB2312" w:cs="仿宋"/>
                <w:b w:val="0"/>
                <w:bCs w:val="0"/>
                <w:sz w:val="24"/>
                <w:szCs w:val="24"/>
              </w:rPr>
              <w:t xml:space="preserve">14 </w:t>
            </w:r>
            <w:r>
              <w:rPr>
                <w:rFonts w:hint="eastAsia" w:ascii="仿宋_GB2312" w:hAnsi="仿宋" w:eastAsia="仿宋_GB2312" w:cs="仿宋"/>
                <w:b w:val="0"/>
                <w:bCs w:val="0"/>
                <w:sz w:val="24"/>
                <w:szCs w:val="24"/>
              </w:rPr>
              <w:t>生态环境建设重大项目</w:t>
            </w:r>
          </w:p>
          <w:p>
            <w:pPr>
              <w:jc w:val="left"/>
              <w:outlineLvl w:val="5"/>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沿河带状公园建设及林业生态修复和保护项目。呼兰河新建堤防北侧（含堤顶），现有呼兰河带状公园向东延伸至铁路线，向西延伸至鹤哈高速。</w:t>
            </w:r>
          </w:p>
          <w:p>
            <w:pPr>
              <w:jc w:val="left"/>
              <w:outlineLvl w:val="5"/>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黄土山生态修复和旅游项目。</w:t>
            </w:r>
            <w:r>
              <w:rPr>
                <w:rFonts w:ascii="仿宋_GB2312" w:hAnsi="仿宋" w:eastAsia="仿宋_GB2312" w:cs="仿宋"/>
                <w:b w:val="0"/>
                <w:bCs w:val="0"/>
                <w:sz w:val="24"/>
                <w:szCs w:val="24"/>
              </w:rPr>
              <w:t>建设中部管理服务区、东部景区大门、西部景区大门及监测管护站；建设基础设施配套项目；建设附属景观工程；第二部分，生态修复和保护对黄土山内的发展型侵蚀22条，总长度22.18</w:t>
            </w:r>
            <w:r>
              <w:rPr>
                <w:rFonts w:hint="eastAsia" w:ascii="仿宋_GB2312" w:hAnsi="仿宋" w:eastAsia="仿宋_GB2312" w:cs="仿宋"/>
                <w:b w:val="0"/>
                <w:bCs w:val="0"/>
                <w:sz w:val="24"/>
                <w:szCs w:val="24"/>
                <w:lang w:eastAsia="zh-CN"/>
              </w:rPr>
              <w:t>千米</w:t>
            </w:r>
            <w:r>
              <w:rPr>
                <w:rFonts w:ascii="仿宋_GB2312" w:hAnsi="仿宋" w:eastAsia="仿宋_GB2312" w:cs="仿宋"/>
                <w:b w:val="0"/>
                <w:bCs w:val="0"/>
                <w:sz w:val="24"/>
                <w:szCs w:val="24"/>
              </w:rPr>
              <w:t>，进行治理，并进行生态围挡布置。</w:t>
            </w:r>
          </w:p>
          <w:p>
            <w:pPr>
              <w:jc w:val="left"/>
              <w:outlineLvl w:val="5"/>
              <w:rPr>
                <w:b w:val="0"/>
                <w:bCs w:val="0"/>
              </w:rPr>
            </w:pPr>
            <w:r>
              <w:rPr>
                <w:rFonts w:hint="eastAsia" w:ascii="仿宋_GB2312" w:hAnsi="仿宋" w:eastAsia="仿宋_GB2312" w:cs="仿宋"/>
                <w:b w:val="0"/>
                <w:bCs w:val="0"/>
                <w:sz w:val="24"/>
                <w:szCs w:val="24"/>
              </w:rPr>
              <w:t>呼兰河治理工程项目。</w:t>
            </w:r>
            <w:r>
              <w:rPr>
                <w:rFonts w:ascii="仿宋_GB2312" w:hAnsi="仿宋" w:eastAsia="仿宋_GB2312" w:cs="仿宋"/>
                <w:b w:val="0"/>
                <w:bCs w:val="0"/>
                <w:sz w:val="24"/>
                <w:szCs w:val="24"/>
              </w:rPr>
              <w:t>堤防加高培厚16.945公里，新建护坡1.8公里等。</w:t>
            </w:r>
          </w:p>
        </w:tc>
      </w:tr>
    </w:tbl>
    <w:p>
      <w:pPr>
        <w:rPr>
          <w:b w:val="0"/>
          <w:bCs w:val="0"/>
        </w:rPr>
      </w:pP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hint="eastAsia" w:ascii="黑体" w:hAnsi="黑体" w:eastAsia="黑体" w:cs="仿宋"/>
          <w:b w:val="0"/>
          <w:bCs w:val="0"/>
          <w:sz w:val="32"/>
          <w:szCs w:val="32"/>
        </w:rPr>
      </w:pPr>
      <w:bookmarkStart w:id="53" w:name="_Toc8956"/>
      <w:r>
        <w:rPr>
          <w:rFonts w:hint="eastAsia" w:ascii="黑体" w:hAnsi="黑体" w:eastAsia="黑体" w:cs="仿宋"/>
          <w:b w:val="0"/>
          <w:bCs w:val="0"/>
          <w:sz w:val="32"/>
          <w:szCs w:val="32"/>
        </w:rPr>
        <w:t>第十章</w:t>
      </w:r>
      <w:bookmarkEnd w:id="44"/>
      <w:r>
        <w:rPr>
          <w:rFonts w:hint="eastAsia" w:ascii="黑体" w:hAnsi="黑体" w:eastAsia="黑体" w:cs="仿宋"/>
          <w:b w:val="0"/>
          <w:bCs w:val="0"/>
          <w:sz w:val="32"/>
          <w:szCs w:val="32"/>
        </w:rPr>
        <w:t xml:space="preserve"> 完善民生保障</w:t>
      </w:r>
      <w:r>
        <w:rPr>
          <w:rFonts w:hint="eastAsia" w:ascii="黑体" w:hAnsi="黑体" w:eastAsia="黑体" w:cs="仿宋"/>
          <w:b w:val="0"/>
          <w:bCs w:val="0"/>
          <w:sz w:val="32"/>
          <w:szCs w:val="32"/>
          <w:lang w:val="en-US" w:eastAsia="zh-CN"/>
        </w:rPr>
        <w:t xml:space="preserve">  </w:t>
      </w:r>
      <w:r>
        <w:rPr>
          <w:rFonts w:hint="eastAsia" w:ascii="黑体" w:hAnsi="黑体" w:eastAsia="黑体" w:cs="仿宋"/>
          <w:b w:val="0"/>
          <w:bCs w:val="0"/>
          <w:sz w:val="32"/>
          <w:szCs w:val="32"/>
        </w:rPr>
        <w:t>促进民生事业高质量发展</w:t>
      </w:r>
      <w:bookmarkEnd w:id="53"/>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坚持以人民为中心的发展思想，注重加强普惠性、基础性、兜底性民生建设，保障群众基本生活，增进人民福祉，满足人民多层次多样化需求。</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54" w:name="_Toc27776"/>
      <w:bookmarkStart w:id="55" w:name="_Toc22341"/>
      <w:r>
        <w:rPr>
          <w:rFonts w:hint="eastAsia" w:ascii="黑体" w:hAnsi="黑体" w:eastAsia="黑体" w:cs="仿宋"/>
          <w:b w:val="0"/>
          <w:bCs w:val="0"/>
          <w:sz w:val="32"/>
          <w:szCs w:val="32"/>
        </w:rPr>
        <w:t xml:space="preserve">第一节 </w:t>
      </w:r>
      <w:bookmarkEnd w:id="54"/>
      <w:r>
        <w:rPr>
          <w:rFonts w:hint="eastAsia" w:ascii="黑体" w:hAnsi="黑体" w:eastAsia="黑体" w:cs="仿宋"/>
          <w:b w:val="0"/>
          <w:bCs w:val="0"/>
          <w:sz w:val="32"/>
          <w:szCs w:val="32"/>
        </w:rPr>
        <w:t>实现更加充分的高质量就业</w:t>
      </w:r>
      <w:bookmarkEnd w:id="55"/>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多渠道增加就业岗位。</w:t>
      </w:r>
      <w:r>
        <w:rPr>
          <w:rFonts w:hint="eastAsia" w:ascii="仿宋_GB2312" w:hAnsi="仿宋" w:eastAsia="仿宋_GB2312" w:cs="仿宋"/>
          <w:b w:val="0"/>
          <w:bCs w:val="0"/>
          <w:sz w:val="32"/>
          <w:szCs w:val="32"/>
        </w:rPr>
        <w:t>加大就业援助，积极通过街道、乡镇就业微信工作群，微信朋友圈、电视台等媒介载体发布岗位信息，大力宣传“哈尔滨就业地图”、“零工平台”使用操作指南，使有意愿求职人员不出家门求职应聘，通过多种方式送政策、送技能、送岗位入门进户，帮助困难就业家庭。建立统一规范灵活的公共就业服务机构，维护劳动者平等就业权利，为劳动者提供优质高效的就业服务。依托专项就业服务活动为载体，跟踪大项目就业服务，搭建人力资源供需平台，有效实现我区较充分就业的目标。</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加强就业创业保障机制。</w:t>
      </w:r>
      <w:r>
        <w:rPr>
          <w:rFonts w:hint="eastAsia" w:ascii="仿宋_GB2312" w:hAnsi="仿宋" w:eastAsia="仿宋_GB2312" w:cs="仿宋"/>
          <w:b w:val="0"/>
          <w:bCs w:val="0"/>
          <w:sz w:val="32"/>
          <w:szCs w:val="32"/>
        </w:rPr>
        <w:t>加强对灵活就业、新就业形态的支持，鼓励劳动者自主就业、全民创业，培育扶持创业孵化基地建设，给予相应的政策支持。完善创业扶持政策，改善创业环境，激发全民创业动力，形成政府激励创业、社会支持创业、各类群体勇于创业的创业机制，进一步降低市场准入门槛，着力解决创业过程中融资难、税负重、门槛高等问题，营造有利于创业孵化基地建设、创业者勇于创业的良好环境。</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强化职业教育培训。</w:t>
      </w:r>
      <w:r>
        <w:rPr>
          <w:rFonts w:hint="eastAsia" w:ascii="仿宋_GB2312" w:hAnsi="仿宋" w:eastAsia="仿宋_GB2312" w:cs="仿宋"/>
          <w:b w:val="0"/>
          <w:bCs w:val="0"/>
          <w:sz w:val="32"/>
          <w:szCs w:val="32"/>
        </w:rPr>
        <w:t>依托国家相关线上职业技能培训平台及数字资源，积极协调社会培训机构组织实施线上线下融合职业技能培训行动。紧紧围绕产业发展和劳动者就业需求，着眼急需紧缺技能人才，着重开展创业培训带动就业。开展养老护理、家政服务、物流配送、电商销售等技能培训，突出下岗失业人员、农村转移劳动者、贫困劳动力等重点群体提高就业创业能力。</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56" w:name="_Toc14644"/>
      <w:bookmarkStart w:id="57" w:name="_Toc19099"/>
      <w:r>
        <w:rPr>
          <w:rFonts w:hint="eastAsia" w:ascii="黑体" w:hAnsi="黑体" w:eastAsia="黑体" w:cs="仿宋"/>
          <w:b w:val="0"/>
          <w:bCs w:val="0"/>
          <w:sz w:val="32"/>
          <w:szCs w:val="32"/>
        </w:rPr>
        <w:t>第二节 推进发展教育</w:t>
      </w:r>
      <w:bookmarkEnd w:id="56"/>
      <w:r>
        <w:rPr>
          <w:rFonts w:hint="eastAsia" w:ascii="黑体" w:hAnsi="黑体" w:eastAsia="黑体" w:cs="仿宋"/>
          <w:b w:val="0"/>
          <w:bCs w:val="0"/>
          <w:sz w:val="32"/>
          <w:szCs w:val="32"/>
        </w:rPr>
        <w:t>事业</w:t>
      </w:r>
      <w:bookmarkEnd w:id="57"/>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不断完善学前教育建设。</w:t>
      </w:r>
      <w:r>
        <w:rPr>
          <w:rFonts w:hint="eastAsia" w:ascii="仿宋_GB2312" w:hAnsi="仿宋" w:eastAsia="仿宋_GB2312" w:cs="仿宋"/>
          <w:b w:val="0"/>
          <w:bCs w:val="0"/>
          <w:sz w:val="32"/>
          <w:szCs w:val="32"/>
        </w:rPr>
        <w:t>进一步完善以政府为主导，社会参与、公办民办并举的办园体制。大力发展公办幼儿园，逐步加大公办幼儿园的比例，积极扶持民办幼儿园的发展。进一步整合改造现有小规模幼儿园，扩大园均规模，提高办园质量。全力盘活推进乡镇学前教育现有资源，努力办好每一所乡镇公办中心园。在老城区新建、改扩建6所幼儿园。</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推动义务教育均衡发展。</w:t>
      </w:r>
      <w:r>
        <w:rPr>
          <w:rFonts w:hint="eastAsia" w:ascii="仿宋_GB2312" w:hAnsi="仿宋" w:eastAsia="仿宋_GB2312" w:cs="仿宋"/>
          <w:b w:val="0"/>
          <w:bCs w:val="0"/>
          <w:sz w:val="32"/>
          <w:szCs w:val="32"/>
        </w:rPr>
        <w:t>积极构建学校成长共同体，提升学校内涵发展水平。</w:t>
      </w:r>
      <w:r>
        <w:rPr>
          <w:rFonts w:hint="eastAsia" w:ascii="仿宋_GB2312" w:hAnsi="仿宋" w:eastAsia="仿宋_GB2312" w:cs="仿宋_GB2312"/>
          <w:b w:val="0"/>
          <w:bCs w:val="0"/>
          <w:sz w:val="32"/>
          <w:szCs w:val="32"/>
        </w:rPr>
        <w:t>全区初中巩固率、残疾儿童少年入学率均达到95%以上，全面推进区内义务教育优质均衡发展。优化中小学布局和办学规模，提高办学水平，进一步提升办学效益。启动并推进呼兰区第二中学校新建项目</w:t>
      </w:r>
      <w:r>
        <w:rPr>
          <w:rFonts w:hint="eastAsia" w:ascii="仿宋_GB2312" w:hAnsi="仿宋" w:eastAsia="仿宋_GB2312" w:cs="仿宋"/>
          <w:b w:val="0"/>
          <w:bCs w:val="0"/>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逐步普及高中阶段教育。</w:t>
      </w:r>
      <w:r>
        <w:rPr>
          <w:rFonts w:hint="eastAsia" w:ascii="仿宋_GB2312" w:hAnsi="仿宋" w:eastAsia="仿宋_GB2312" w:cs="仿宋"/>
          <w:b w:val="0"/>
          <w:bCs w:val="0"/>
          <w:sz w:val="32"/>
          <w:szCs w:val="32"/>
        </w:rPr>
        <w:t>实施特色高中建设计划，以课程改革为核心，创新普通高中办学模式和育人方式，探索选课走班教学，促进学生自主、充分、有个性地发展。加强职业教育内涵建设，深化产教融合、校企合作，构建校企一体化育人机制。探索建立职校、企业、行业多方合作的职教集团和中高职教育联盟。</w:t>
      </w:r>
      <w:r>
        <w:rPr>
          <w:rFonts w:hint="eastAsia" w:ascii="仿宋_GB2312" w:hAnsi="仿宋" w:eastAsia="仿宋_GB2312" w:cs="仿宋_GB2312"/>
          <w:b w:val="0"/>
          <w:bCs w:val="0"/>
          <w:sz w:val="32"/>
          <w:szCs w:val="32"/>
        </w:rPr>
        <w:t>启动并推进新建</w:t>
      </w:r>
      <w:r>
        <w:rPr>
          <w:rFonts w:hint="eastAsia" w:ascii="仿宋_GB2312" w:hAnsi="仿宋" w:eastAsia="仿宋_GB2312" w:cs="仿宋"/>
          <w:b w:val="0"/>
          <w:bCs w:val="0"/>
          <w:sz w:val="32"/>
          <w:szCs w:val="32"/>
        </w:rPr>
        <w:t>呼兰区第一中学、职教中心移址开发区和国际学校建设项目。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加强教师队伍建设。</w:t>
      </w:r>
      <w:r>
        <w:rPr>
          <w:rFonts w:hint="eastAsia" w:ascii="仿宋_GB2312" w:hAnsi="仿宋" w:eastAsia="仿宋_GB2312" w:cs="仿宋"/>
          <w:b w:val="0"/>
          <w:bCs w:val="0"/>
          <w:sz w:val="32"/>
          <w:szCs w:val="32"/>
        </w:rPr>
        <w:t>继续深化区委、区政府关于师德师风建设的巡察机制，进一步加强师德师风建设。全面推进义务教育教师“区管校聘”工作，在全区教师岗位结构比例框架内，</w:t>
      </w:r>
      <w:r>
        <w:rPr>
          <w:rFonts w:ascii="仿宋_GB2312" w:hAnsi="仿宋" w:eastAsia="仿宋_GB2312" w:cs="仿宋"/>
          <w:b w:val="0"/>
          <w:bCs w:val="0"/>
          <w:sz w:val="32"/>
          <w:szCs w:val="32"/>
        </w:rPr>
        <w:t>统筹调配城乡学校教师岗位，</w:t>
      </w:r>
      <w:r>
        <w:rPr>
          <w:rFonts w:hint="eastAsia" w:ascii="仿宋_GB2312" w:hAnsi="仿宋" w:eastAsia="仿宋_GB2312" w:cs="仿宋"/>
          <w:b w:val="0"/>
          <w:bCs w:val="0"/>
          <w:sz w:val="32"/>
          <w:szCs w:val="32"/>
        </w:rPr>
        <w:t>合理配置教师资源。通过</w:t>
      </w:r>
      <w:r>
        <w:rPr>
          <w:rFonts w:ascii="仿宋_GB2312" w:hAnsi="仿宋" w:eastAsia="仿宋_GB2312" w:cs="仿宋"/>
          <w:b w:val="0"/>
          <w:bCs w:val="0"/>
          <w:sz w:val="32"/>
          <w:szCs w:val="32"/>
        </w:rPr>
        <w:t>公开招聘，持续壮大和优化教师队伍</w:t>
      </w:r>
      <w:r>
        <w:rPr>
          <w:rFonts w:hint="eastAsia" w:ascii="仿宋_GB2312" w:hAnsi="仿宋" w:eastAsia="仿宋_GB2312" w:cs="仿宋"/>
          <w:b w:val="0"/>
          <w:bCs w:val="0"/>
          <w:sz w:val="32"/>
          <w:szCs w:val="32"/>
        </w:rPr>
        <w:t>。在全区中小学校扎实开展岗位大练兵、培育教师教育技术能力等活动，通过“基点+互助+互动+网络”、“送下去、请上来、网起来、联成体”的培训模式，多方拓宽教师培训渠道，大幅提升教师综合素养。在全区实施“名学校、名校长、名教师”“三名”带动工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 w:eastAsia="仿宋_GB2312" w:cs="仿宋"/>
          <w:b w:val="0"/>
          <w:bCs w:val="0"/>
          <w:sz w:val="32"/>
          <w:szCs w:val="32"/>
        </w:rPr>
      </w:pPr>
      <w:r>
        <w:rPr>
          <w:rFonts w:hint="eastAsia" w:ascii="楷体" w:hAnsi="楷体" w:eastAsia="楷体" w:cs="仿宋"/>
          <w:b w:val="0"/>
          <w:bCs w:val="0"/>
          <w:sz w:val="32"/>
          <w:szCs w:val="32"/>
        </w:rPr>
        <w:t>推进教育信息化建设。</w:t>
      </w:r>
      <w:r>
        <w:rPr>
          <w:rFonts w:hint="eastAsia" w:ascii="仿宋_GB2312" w:hAnsi="仿宋" w:eastAsia="仿宋_GB2312" w:cs="仿宋"/>
          <w:b w:val="0"/>
          <w:bCs w:val="0"/>
          <w:sz w:val="32"/>
          <w:szCs w:val="32"/>
        </w:rPr>
        <w:t>基本建成全区学校标准统一、互联互通、功能完善、安全可靠、可持续发展的教育信息化基础环境。在各中小学都建有计算机网络教室、精品教学录播教室、多媒体设备“班班通”；中小学接入带宽达到100M以上，学校数字化校园网普遍建立，全面实现市、区、校三级网络高速</w:t>
      </w:r>
      <w:r>
        <w:rPr>
          <w:rFonts w:hint="eastAsia" w:ascii="仿宋_GB2312" w:hAnsi="仿宋" w:eastAsia="仿宋_GB2312" w:cs="仿宋_GB2312"/>
          <w:b w:val="0"/>
          <w:bCs w:val="0"/>
          <w:sz w:val="32"/>
          <w:szCs w:val="32"/>
        </w:rPr>
        <w:t>互联互通。加强信息技术与教育教学的深度融合，提高教育教学质量。建设全区教育管理信息系统，全面提高教育管理水平和服务能力</w:t>
      </w:r>
      <w:r>
        <w:rPr>
          <w:rFonts w:hint="eastAsia" w:ascii="仿宋_GB2312" w:hAnsi="仿宋" w:eastAsia="仿宋_GB2312" w:cs="仿宋"/>
          <w:b w:val="0"/>
          <w:bCs w:val="0"/>
          <w:sz w:val="32"/>
          <w:szCs w:val="32"/>
        </w:rPr>
        <w:t>。</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8755" w:type="dxa"/>
            <w:noWrap w:val="0"/>
            <w:vAlign w:val="top"/>
          </w:tcPr>
          <w:p>
            <w:pPr>
              <w:spacing w:before="240" w:after="240"/>
              <w:jc w:val="center"/>
              <w:outlineLvl w:val="5"/>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专栏</w:t>
            </w:r>
            <w:r>
              <w:rPr>
                <w:rFonts w:ascii="仿宋_GB2312" w:hAnsi="仿宋" w:eastAsia="仿宋_GB2312" w:cs="仿宋"/>
                <w:b w:val="0"/>
                <w:bCs w:val="0"/>
                <w:sz w:val="24"/>
                <w:szCs w:val="24"/>
              </w:rPr>
              <w:t xml:space="preserve">15 </w:t>
            </w:r>
            <w:r>
              <w:rPr>
                <w:rFonts w:hint="eastAsia" w:ascii="仿宋_GB2312" w:hAnsi="仿宋" w:eastAsia="仿宋_GB2312" w:cs="仿宋"/>
                <w:b w:val="0"/>
                <w:bCs w:val="0"/>
                <w:sz w:val="24"/>
                <w:szCs w:val="24"/>
              </w:rPr>
              <w:t>教育事业重点工程项目</w:t>
            </w:r>
          </w:p>
          <w:p>
            <w:pPr>
              <w:pStyle w:val="9"/>
              <w:rPr>
                <w:rFonts w:ascii="仿宋_GB2312" w:hAnsi="仿宋" w:eastAsia="仿宋_GB2312" w:cs="仿宋_GB2312"/>
                <w:b w:val="0"/>
                <w:bCs w:val="0"/>
                <w:sz w:val="24"/>
                <w:szCs w:val="24"/>
              </w:rPr>
            </w:pPr>
            <w:r>
              <w:rPr>
                <w:rFonts w:hint="eastAsia" w:ascii="仿宋_GB2312" w:hAnsi="仿宋" w:eastAsia="仿宋_GB2312" w:cs="仿宋_GB2312"/>
                <w:b w:val="0"/>
                <w:bCs w:val="0"/>
                <w:sz w:val="24"/>
                <w:szCs w:val="24"/>
              </w:rPr>
              <w:t>第四幼儿园建设项目。</w:t>
            </w:r>
            <w:r>
              <w:rPr>
                <w:rFonts w:ascii="仿宋_GB2312" w:hAnsi="仿宋" w:eastAsia="仿宋_GB2312" w:cs="仿宋_GB2312"/>
                <w:b w:val="0"/>
                <w:bCs w:val="0"/>
                <w:sz w:val="24"/>
                <w:szCs w:val="24"/>
              </w:rPr>
              <w:t>新建12个教学班幼儿园一所，容纳幼儿360名</w:t>
            </w:r>
            <w:r>
              <w:rPr>
                <w:rFonts w:hint="eastAsia" w:ascii="仿宋_GB2312" w:hAnsi="仿宋" w:eastAsia="仿宋_GB2312" w:cs="仿宋_GB2312"/>
                <w:b w:val="0"/>
                <w:bCs w:val="0"/>
                <w:sz w:val="24"/>
                <w:szCs w:val="24"/>
              </w:rPr>
              <w:t>，</w:t>
            </w:r>
            <w:r>
              <w:rPr>
                <w:rFonts w:ascii="仿宋_GB2312" w:hAnsi="仿宋" w:eastAsia="仿宋_GB2312" w:cs="仿宋_GB2312"/>
                <w:b w:val="0"/>
                <w:bCs w:val="0"/>
                <w:sz w:val="24"/>
                <w:szCs w:val="24"/>
              </w:rPr>
              <w:t>占地5430平方米，建筑面积4770平方米，地上三层、地下一层。</w:t>
            </w:r>
          </w:p>
          <w:p>
            <w:pPr>
              <w:pStyle w:val="9"/>
              <w:rPr>
                <w:rFonts w:ascii="仿宋_GB2312" w:hAnsi="仿宋" w:eastAsia="仿宋_GB2312" w:cs="仿宋_GB2312"/>
                <w:b w:val="0"/>
                <w:bCs w:val="0"/>
                <w:sz w:val="24"/>
                <w:szCs w:val="24"/>
              </w:rPr>
            </w:pPr>
            <w:r>
              <w:rPr>
                <w:rFonts w:hint="eastAsia" w:ascii="仿宋_GB2312" w:hAnsi="仿宋" w:eastAsia="仿宋_GB2312" w:cs="仿宋_GB2312"/>
                <w:b w:val="0"/>
                <w:bCs w:val="0"/>
                <w:sz w:val="24"/>
                <w:szCs w:val="24"/>
              </w:rPr>
              <w:t>小区配套改扩建</w:t>
            </w:r>
            <w:r>
              <w:rPr>
                <w:rFonts w:ascii="仿宋_GB2312" w:hAnsi="仿宋" w:eastAsia="仿宋_GB2312" w:cs="仿宋_GB2312"/>
                <w:b w:val="0"/>
                <w:bCs w:val="0"/>
                <w:sz w:val="24"/>
                <w:szCs w:val="24"/>
              </w:rPr>
              <w:t>3所幼儿园项目</w:t>
            </w:r>
            <w:r>
              <w:rPr>
                <w:rFonts w:hint="eastAsia" w:ascii="仿宋_GB2312" w:hAnsi="仿宋" w:eastAsia="仿宋_GB2312" w:cs="仿宋_GB2312"/>
                <w:b w:val="0"/>
                <w:bCs w:val="0"/>
                <w:sz w:val="24"/>
                <w:szCs w:val="24"/>
              </w:rPr>
              <w:t>。</w:t>
            </w:r>
            <w:r>
              <w:rPr>
                <w:rFonts w:ascii="仿宋_GB2312" w:hAnsi="仿宋" w:eastAsia="仿宋_GB2312" w:cs="仿宋_GB2312"/>
                <w:b w:val="0"/>
                <w:bCs w:val="0"/>
                <w:sz w:val="24"/>
                <w:szCs w:val="24"/>
              </w:rPr>
              <w:t>改扩建3所幼儿园，总建筑面积6400平方米，改扩建后将增加18班、学位540个；分别为：御河湾小区配套幼儿园</w:t>
            </w:r>
            <w:r>
              <w:rPr>
                <w:rFonts w:hint="eastAsia" w:ascii="仿宋_GB2312" w:hAnsi="仿宋" w:eastAsia="仿宋_GB2312" w:cs="仿宋_GB2312"/>
                <w:b w:val="0"/>
                <w:bCs w:val="0"/>
                <w:sz w:val="24"/>
                <w:szCs w:val="24"/>
              </w:rPr>
              <w:t>、腰堡幼儿园、</w:t>
            </w:r>
            <w:r>
              <w:rPr>
                <w:rFonts w:ascii="仿宋_GB2312" w:hAnsi="仿宋" w:eastAsia="仿宋_GB2312" w:cs="仿宋_GB2312"/>
                <w:b w:val="0"/>
                <w:bCs w:val="0"/>
                <w:sz w:val="24"/>
                <w:szCs w:val="24"/>
              </w:rPr>
              <w:t>格林悦居小区配套幼儿园</w:t>
            </w:r>
            <w:r>
              <w:rPr>
                <w:rFonts w:hint="eastAsia" w:ascii="仿宋_GB2312" w:hAnsi="仿宋" w:eastAsia="仿宋_GB2312" w:cs="仿宋_GB2312"/>
                <w:b w:val="0"/>
                <w:bCs w:val="0"/>
                <w:sz w:val="24"/>
                <w:szCs w:val="24"/>
              </w:rPr>
              <w:t>。</w:t>
            </w:r>
          </w:p>
          <w:p>
            <w:pPr>
              <w:pStyle w:val="9"/>
              <w:rPr>
                <w:rFonts w:ascii="仿宋_GB2312" w:hAnsi="仿宋" w:eastAsia="仿宋_GB2312" w:cs="仿宋_GB2312"/>
                <w:b w:val="0"/>
                <w:bCs w:val="0"/>
                <w:sz w:val="24"/>
                <w:szCs w:val="24"/>
              </w:rPr>
            </w:pPr>
            <w:r>
              <w:rPr>
                <w:rFonts w:hint="eastAsia" w:ascii="仿宋_GB2312" w:hAnsi="仿宋" w:eastAsia="仿宋_GB2312" w:cs="仿宋_GB2312"/>
                <w:b w:val="0"/>
                <w:bCs w:val="0"/>
                <w:sz w:val="24"/>
                <w:szCs w:val="24"/>
              </w:rPr>
              <w:t>第二、第三幼儿园建设项目。</w:t>
            </w:r>
            <w:r>
              <w:rPr>
                <w:rFonts w:ascii="仿宋_GB2312" w:hAnsi="仿宋" w:eastAsia="仿宋_GB2312" w:cs="仿宋_GB2312"/>
                <w:b w:val="0"/>
                <w:bCs w:val="0"/>
                <w:sz w:val="24"/>
                <w:szCs w:val="24"/>
              </w:rPr>
              <w:t>在原哈师大基础教育学院</w:t>
            </w:r>
            <w:r>
              <w:rPr>
                <w:rFonts w:hint="eastAsia" w:ascii="仿宋_GB2312" w:hAnsi="仿宋" w:eastAsia="仿宋_GB2312" w:cs="仿宋_GB2312"/>
                <w:b w:val="0"/>
                <w:bCs w:val="0"/>
                <w:sz w:val="24"/>
                <w:szCs w:val="24"/>
              </w:rPr>
              <w:t>改建</w:t>
            </w:r>
            <w:r>
              <w:rPr>
                <w:rFonts w:ascii="仿宋_GB2312" w:hAnsi="仿宋" w:eastAsia="仿宋_GB2312" w:cs="仿宋_GB2312"/>
                <w:b w:val="0"/>
                <w:bCs w:val="0"/>
                <w:sz w:val="24"/>
                <w:szCs w:val="24"/>
              </w:rPr>
              <w:t>，</w:t>
            </w:r>
            <w:r>
              <w:rPr>
                <w:rFonts w:hint="eastAsia" w:ascii="仿宋_GB2312" w:hAnsi="仿宋" w:eastAsia="仿宋_GB2312" w:cs="仿宋_GB2312"/>
                <w:b w:val="0"/>
                <w:bCs w:val="0"/>
                <w:sz w:val="24"/>
                <w:szCs w:val="24"/>
              </w:rPr>
              <w:t>呼兰第二幼儿园</w:t>
            </w:r>
            <w:r>
              <w:rPr>
                <w:rFonts w:ascii="仿宋_GB2312" w:hAnsi="仿宋" w:eastAsia="仿宋_GB2312" w:cs="仿宋_GB2312"/>
                <w:b w:val="0"/>
                <w:bCs w:val="0"/>
                <w:sz w:val="24"/>
                <w:szCs w:val="24"/>
              </w:rPr>
              <w:t>建筑总面积6264</w:t>
            </w:r>
            <w:r>
              <w:rPr>
                <w:rFonts w:hint="eastAsia" w:ascii="仿宋_GB2312" w:hAnsi="仿宋" w:eastAsia="仿宋_GB2312" w:cs="仿宋_GB2312"/>
                <w:b w:val="0"/>
                <w:bCs w:val="0"/>
                <w:sz w:val="24"/>
                <w:szCs w:val="24"/>
                <w:lang w:eastAsia="zh-CN"/>
              </w:rPr>
              <w:t>平方米</w:t>
            </w:r>
            <w:r>
              <w:rPr>
                <w:rFonts w:hint="eastAsia" w:ascii="仿宋_GB2312" w:hAnsi="仿宋" w:eastAsia="仿宋_GB2312" w:cs="仿宋_GB2312"/>
                <w:b w:val="0"/>
                <w:bCs w:val="0"/>
                <w:sz w:val="24"/>
                <w:szCs w:val="24"/>
              </w:rPr>
              <w:t>，</w:t>
            </w:r>
            <w:r>
              <w:rPr>
                <w:rFonts w:ascii="仿宋_GB2312" w:hAnsi="仿宋" w:eastAsia="仿宋_GB2312" w:cs="仿宋_GB2312"/>
                <w:b w:val="0"/>
                <w:bCs w:val="0"/>
                <w:sz w:val="24"/>
                <w:szCs w:val="24"/>
              </w:rPr>
              <w:t>12个班型，360个学位，第三幼儿园建筑总面积9030</w:t>
            </w:r>
            <w:r>
              <w:rPr>
                <w:rFonts w:hint="eastAsia" w:ascii="仿宋_GB2312" w:hAnsi="仿宋" w:eastAsia="仿宋_GB2312" w:cs="仿宋_GB2312"/>
                <w:b w:val="0"/>
                <w:bCs w:val="0"/>
                <w:sz w:val="24"/>
                <w:szCs w:val="24"/>
                <w:lang w:eastAsia="zh-CN"/>
              </w:rPr>
              <w:t>平方米</w:t>
            </w:r>
            <w:r>
              <w:rPr>
                <w:rFonts w:hint="eastAsia" w:ascii="仿宋_GB2312" w:hAnsi="仿宋" w:eastAsia="仿宋_GB2312" w:cs="仿宋_GB2312"/>
                <w:b w:val="0"/>
                <w:bCs w:val="0"/>
                <w:sz w:val="24"/>
                <w:szCs w:val="24"/>
              </w:rPr>
              <w:t>，</w:t>
            </w:r>
            <w:r>
              <w:rPr>
                <w:rFonts w:ascii="仿宋_GB2312" w:hAnsi="仿宋" w:eastAsia="仿宋_GB2312" w:cs="仿宋_GB2312"/>
                <w:b w:val="0"/>
                <w:bCs w:val="0"/>
                <w:sz w:val="24"/>
                <w:szCs w:val="24"/>
              </w:rPr>
              <w:t>24个班型，720个学位。</w:t>
            </w:r>
            <w:r>
              <w:rPr>
                <w:rFonts w:ascii="仿宋_GB2312" w:hAnsi="仿宋" w:eastAsia="仿宋_GB2312" w:cs="仿宋_GB2312"/>
                <w:b w:val="0"/>
                <w:bCs w:val="0"/>
                <w:sz w:val="24"/>
                <w:szCs w:val="24"/>
              </w:rPr>
              <w:tab/>
            </w:r>
            <w:r>
              <w:rPr>
                <w:rFonts w:ascii="仿宋_GB2312" w:hAnsi="仿宋" w:eastAsia="仿宋_GB2312" w:cs="仿宋_GB2312"/>
                <w:b w:val="0"/>
                <w:bCs w:val="0"/>
                <w:sz w:val="24"/>
                <w:szCs w:val="24"/>
              </w:rPr>
              <w:tab/>
            </w:r>
            <w:r>
              <w:rPr>
                <w:rFonts w:ascii="仿宋_GB2312" w:hAnsi="仿宋" w:eastAsia="仿宋_GB2312" w:cs="仿宋_GB2312"/>
                <w:b w:val="0"/>
                <w:bCs w:val="0"/>
                <w:sz w:val="24"/>
                <w:szCs w:val="24"/>
              </w:rPr>
              <w:tab/>
            </w:r>
            <w:r>
              <w:rPr>
                <w:rFonts w:ascii="仿宋_GB2312" w:hAnsi="仿宋" w:eastAsia="仿宋_GB2312" w:cs="仿宋_GB2312"/>
                <w:b w:val="0"/>
                <w:bCs w:val="0"/>
                <w:sz w:val="24"/>
                <w:szCs w:val="24"/>
              </w:rPr>
              <w:tab/>
            </w:r>
            <w:r>
              <w:rPr>
                <w:rFonts w:ascii="仿宋_GB2312" w:hAnsi="仿宋" w:eastAsia="仿宋_GB2312" w:cs="仿宋_GB2312"/>
                <w:b w:val="0"/>
                <w:bCs w:val="0"/>
                <w:sz w:val="24"/>
                <w:szCs w:val="24"/>
              </w:rPr>
              <w:tab/>
            </w:r>
            <w:r>
              <w:rPr>
                <w:rFonts w:ascii="仿宋_GB2312" w:hAnsi="仿宋" w:eastAsia="仿宋_GB2312" w:cs="仿宋_GB2312"/>
                <w:b w:val="0"/>
                <w:bCs w:val="0"/>
                <w:sz w:val="24"/>
                <w:szCs w:val="24"/>
              </w:rPr>
              <w:tab/>
            </w:r>
            <w:r>
              <w:rPr>
                <w:rFonts w:ascii="仿宋_GB2312" w:hAnsi="仿宋" w:eastAsia="仿宋_GB2312" w:cs="仿宋_GB2312"/>
                <w:b w:val="0"/>
                <w:bCs w:val="0"/>
                <w:sz w:val="24"/>
                <w:szCs w:val="24"/>
              </w:rPr>
              <w:tab/>
            </w:r>
            <w:r>
              <w:rPr>
                <w:rFonts w:ascii="仿宋_GB2312" w:hAnsi="仿宋" w:eastAsia="仿宋_GB2312" w:cs="仿宋_GB2312"/>
                <w:b w:val="0"/>
                <w:bCs w:val="0"/>
                <w:sz w:val="24"/>
                <w:szCs w:val="24"/>
              </w:rPr>
              <w:tab/>
            </w:r>
          </w:p>
          <w:p>
            <w:pPr>
              <w:pStyle w:val="9"/>
              <w:rPr>
                <w:rFonts w:ascii="仿宋_GB2312" w:hAnsi="仿宋" w:eastAsia="仿宋_GB2312" w:cs="仿宋_GB2312"/>
                <w:b w:val="0"/>
                <w:bCs w:val="0"/>
                <w:sz w:val="24"/>
                <w:szCs w:val="24"/>
              </w:rPr>
            </w:pPr>
            <w:r>
              <w:rPr>
                <w:rFonts w:hint="eastAsia" w:ascii="仿宋_GB2312" w:hAnsi="仿宋" w:eastAsia="仿宋_GB2312" w:cs="仿宋_GB2312"/>
                <w:b w:val="0"/>
                <w:bCs w:val="0"/>
                <w:sz w:val="24"/>
                <w:szCs w:val="24"/>
              </w:rPr>
              <w:t>呼兰区第二中学校建设项目。建设36个教学班的九年一贯寄宿制学校一所，项目预计占地面积64960平方米。</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呼兰区第一中学校建设项目。建设36个教学班的示范高中一所，项目预计占地面积</w:t>
            </w:r>
            <w:r>
              <w:rPr>
                <w:rFonts w:hint="eastAsia" w:ascii="仿宋_GB2312" w:hAnsi="仿宋" w:eastAsia="仿宋_GB2312" w:cs="仿宋_GB2312"/>
                <w:b w:val="0"/>
                <w:bCs w:val="0"/>
                <w:sz w:val="24"/>
                <w:szCs w:val="24"/>
              </w:rPr>
              <w:t>70296平方米</w:t>
            </w:r>
            <w:r>
              <w:rPr>
                <w:rFonts w:hint="eastAsia" w:ascii="仿宋_GB2312" w:hAnsi="仿宋" w:eastAsia="仿宋_GB2312" w:cs="仿宋"/>
                <w:b w:val="0"/>
                <w:bCs w:val="0"/>
                <w:sz w:val="24"/>
                <w:szCs w:val="24"/>
              </w:rPr>
              <w:t>。</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呼兰区职教中心迁址改造建设项目。建设用地面积41250平方米，包括人才公寓、广播电视大学、社区教育学院、教学实训用房、教学辅助及行政管理用房、单身教工宿舍、学生宿舍等；新建场区配套工程，包括绿化、运动场地及场区硬化及停车场。</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国际学校建设项目。规划总用地面积为20万平方米，总建筑面积约为11万平方米，包括小学综合楼、初中综合楼、高中综合楼、国际教育综合楼、宿舍楼、课程中心、会议中心和图书馆、体育馆、专家公寓及外教公寓等建设。</w:t>
            </w:r>
          </w:p>
          <w:p>
            <w:pPr>
              <w:widowControl/>
              <w:jc w:val="left"/>
              <w:rPr>
                <w:rFonts w:ascii="仿宋" w:hAnsi="仿宋" w:eastAsia="仿宋" w:cs="仿宋"/>
                <w:b w:val="0"/>
                <w:bCs w:val="0"/>
                <w:sz w:val="24"/>
                <w:szCs w:val="24"/>
              </w:rPr>
            </w:pPr>
            <w:r>
              <w:rPr>
                <w:rFonts w:hint="eastAsia" w:ascii="仿宋_GB2312" w:hAnsi="仿宋" w:eastAsia="仿宋_GB2312" w:cs="仿宋"/>
                <w:b w:val="0"/>
                <w:bCs w:val="0"/>
                <w:sz w:val="24"/>
                <w:szCs w:val="24"/>
              </w:rPr>
              <w:t>基础教育信息化建设项目。</w:t>
            </w:r>
            <w:r>
              <w:rPr>
                <w:rFonts w:hint="eastAsia" w:ascii="仿宋" w:hAnsi="仿宋" w:eastAsia="仿宋" w:cs="仿宋"/>
                <w:b w:val="0"/>
                <w:bCs w:val="0"/>
                <w:kern w:val="0"/>
                <w:sz w:val="24"/>
                <w:szCs w:val="24"/>
              </w:rPr>
              <w:t>教育信息化设备采购，包括无线网</w:t>
            </w:r>
            <w:r>
              <w:rPr>
                <w:rFonts w:hint="eastAsia" w:ascii="仿宋_GB2312" w:hAnsi="仿宋" w:eastAsia="仿宋_GB2312" w:cs="仿宋"/>
                <w:b w:val="0"/>
                <w:bCs w:val="0"/>
                <w:sz w:val="24"/>
                <w:szCs w:val="24"/>
              </w:rPr>
              <w:t>络设施设备、精品录播教室、录播管理平台、移动录播、创客教室、智慧教室、</w:t>
            </w:r>
            <w:r>
              <w:rPr>
                <w:rFonts w:hint="eastAsia" w:ascii="仿宋" w:hAnsi="仿宋" w:eastAsia="仿宋" w:cs="仿宋"/>
                <w:b w:val="0"/>
                <w:bCs w:val="0"/>
                <w:kern w:val="0"/>
                <w:sz w:val="24"/>
                <w:szCs w:val="24"/>
              </w:rPr>
              <w:t xml:space="preserve">书法教室、朗读亭、多媒体教学一体机等。 </w:t>
            </w:r>
          </w:p>
          <w:p>
            <w:pPr>
              <w:pStyle w:val="9"/>
              <w:rPr>
                <w:rFonts w:ascii="仿宋_GB2312" w:hAnsi="仿宋" w:eastAsia="仿宋_GB2312" w:cs="仿宋"/>
                <w:b w:val="0"/>
                <w:bCs w:val="0"/>
                <w:sz w:val="24"/>
                <w:szCs w:val="24"/>
              </w:rPr>
            </w:pPr>
            <w:r>
              <w:rPr>
                <w:rFonts w:ascii="仿宋_GB2312" w:hAnsi="仿宋" w:eastAsia="仿宋_GB2312" w:cs="仿宋"/>
                <w:b w:val="0"/>
                <w:bCs w:val="0"/>
                <w:sz w:val="24"/>
                <w:szCs w:val="24"/>
              </w:rPr>
              <w:t>18所中小学校足球场建设项目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全区18</w:t>
            </w:r>
            <w:r>
              <w:rPr>
                <w:rFonts w:hint="eastAsia" w:ascii="仿宋_GB2312" w:hAnsi="仿宋" w:eastAsia="仿宋_GB2312" w:cs="仿宋"/>
                <w:b w:val="0"/>
                <w:bCs w:val="0"/>
                <w:sz w:val="24"/>
                <w:szCs w:val="24"/>
              </w:rPr>
              <w:t>所</w:t>
            </w:r>
            <w:r>
              <w:rPr>
                <w:rFonts w:ascii="仿宋_GB2312" w:hAnsi="仿宋" w:eastAsia="仿宋_GB2312" w:cs="仿宋"/>
                <w:b w:val="0"/>
                <w:bCs w:val="0"/>
                <w:sz w:val="24"/>
                <w:szCs w:val="24"/>
              </w:rPr>
              <w:t>中小学建设校园足球场，其中对两所学校操场同步进行整体改造。</w:t>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校园公共卫生抗疫建设项目。</w:t>
            </w:r>
            <w:r>
              <w:rPr>
                <w:rFonts w:ascii="仿宋_GB2312" w:hAnsi="仿宋" w:eastAsia="仿宋_GB2312" w:cs="仿宋"/>
                <w:b w:val="0"/>
                <w:bCs w:val="0"/>
                <w:sz w:val="24"/>
                <w:szCs w:val="24"/>
              </w:rPr>
              <w:t>37所中小学校公共卫生整改组成：增加洗手池共1612个、购置抗疫设备54套。</w:t>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中小学劳动教育室及劳动教育基地项目。</w:t>
            </w:r>
            <w:r>
              <w:rPr>
                <w:rFonts w:ascii="仿宋_GB2312" w:hAnsi="仿宋" w:eastAsia="仿宋_GB2312" w:cs="仿宋"/>
                <w:b w:val="0"/>
                <w:bCs w:val="0"/>
                <w:sz w:val="24"/>
                <w:szCs w:val="24"/>
              </w:rPr>
              <w:t>拟建34个中小劳动教育室；提升改造1个中小学劳动教育基地。</w:t>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p>
          <w:p>
            <w:pPr>
              <w:pStyle w:val="9"/>
              <w:rPr>
                <w:rFonts w:ascii="仿宋_GB2312" w:hAnsi="仿宋" w:eastAsia="仿宋_GB2312" w:cs="仿宋"/>
                <w:b w:val="0"/>
                <w:bCs w:val="0"/>
                <w:sz w:val="24"/>
                <w:szCs w:val="24"/>
              </w:rPr>
            </w:pPr>
            <w:r>
              <w:rPr>
                <w:rFonts w:ascii="仿宋_GB2312" w:hAnsi="仿宋" w:eastAsia="仿宋_GB2312" w:cs="仿宋"/>
                <w:b w:val="0"/>
                <w:bCs w:val="0"/>
                <w:sz w:val="24"/>
                <w:szCs w:val="24"/>
              </w:rPr>
              <w:t>12所中小学校舍维修及操场改造项目</w:t>
            </w:r>
            <w:r>
              <w:rPr>
                <w:rFonts w:hint="eastAsia" w:ascii="仿宋_GB2312" w:hAnsi="仿宋" w:eastAsia="仿宋_GB2312" w:cs="仿宋"/>
                <w:b w:val="0"/>
                <w:bCs w:val="0"/>
                <w:sz w:val="24"/>
                <w:szCs w:val="24"/>
              </w:rPr>
              <w:t>。</w:t>
            </w:r>
          </w:p>
        </w:tc>
      </w:tr>
    </w:tbl>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58" w:name="_Toc8697"/>
      <w:r>
        <w:rPr>
          <w:rFonts w:hint="eastAsia" w:ascii="黑体" w:hAnsi="黑体" w:eastAsia="黑体" w:cs="仿宋"/>
          <w:b w:val="0"/>
          <w:bCs w:val="0"/>
          <w:sz w:val="32"/>
          <w:szCs w:val="32"/>
        </w:rPr>
        <w:t>第三节 繁荣发展文化事业和文化产业</w:t>
      </w:r>
      <w:bookmarkEnd w:id="58"/>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提高社会文明程度。</w:t>
      </w:r>
      <w:r>
        <w:rPr>
          <w:rFonts w:hint="eastAsia" w:ascii="仿宋_GB2312" w:hAnsi="仿宋" w:eastAsia="仿宋_GB2312" w:cs="仿宋"/>
          <w:b w:val="0"/>
          <w:bCs w:val="0"/>
          <w:sz w:val="32"/>
          <w:szCs w:val="32"/>
        </w:rPr>
        <w:t>深入开展习近平新时代中国特色社会主义思想学习教育，促进全体人民在思想上精神上紧紧团结在一起。加强爱国主义、集体主义、社会主义教育，不断提升人民思想觉悟、道德水准，引导人们坚定道路自信、理论自信、制度自信、文化自信，增强坚守共同理想、实现共同梦想的信心和决心。深入开展群众性精神文明创建活动，深入开展文明城市、文明村镇、文明单位、文明家庭、文明校园创建活动，加快形成适应新时代要求的思想观念、精神面貌、文明风尚、行为规范。</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提升公共文化服务。</w:t>
      </w:r>
      <w:r>
        <w:rPr>
          <w:rFonts w:hint="eastAsia" w:ascii="仿宋_GB2312" w:hAnsi="仿宋" w:eastAsia="仿宋_GB2312" w:cs="仿宋"/>
          <w:b w:val="0"/>
          <w:bCs w:val="0"/>
          <w:sz w:val="32"/>
          <w:szCs w:val="32"/>
        </w:rPr>
        <w:t>繁荣发展广播电视、网站报刊、文学影视、哲学社会科学事业。推进博物馆、图书馆、文化馆建设，不断满足广大人民群众高品质的公共文化需求。深入挖掘公民需求和喜好，提供丰富多样、喜闻乐见的产品和服务。持续加强基本公共文化服务体系建设，推动公共文化服务数字化进程，创新实施文化惠民工程，推进基本公共文化服务标准化、均等化。</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繁荣城市特色文化。</w:t>
      </w:r>
      <w:r>
        <w:rPr>
          <w:rFonts w:hint="eastAsia" w:ascii="仿宋_GB2312" w:hAnsi="仿宋" w:eastAsia="仿宋_GB2312" w:cs="仿宋"/>
          <w:b w:val="0"/>
          <w:bCs w:val="0"/>
          <w:sz w:val="32"/>
          <w:szCs w:val="32"/>
        </w:rPr>
        <w:t>立足萧红文化影响，讲好“呼兰故事”，扩散北方文学的独特魅力，彰显呼兰的历史文化名城形象。深入挖掘红色教育、冰雪文化等资源，推动优秀传统文化创造性转化、创新性发展。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发展现代文化产业。</w:t>
      </w:r>
      <w:r>
        <w:rPr>
          <w:rFonts w:hint="eastAsia" w:ascii="仿宋_GB2312" w:hAnsi="仿宋" w:eastAsia="仿宋_GB2312" w:cs="仿宋"/>
          <w:b w:val="0"/>
          <w:bCs w:val="0"/>
          <w:sz w:val="32"/>
          <w:szCs w:val="32"/>
        </w:rPr>
        <w:t>推进文化体制改革，健全文化产业政策，提升文化影响力和创造力，建设导向正确、规范有序、充满活力的现代文化产业体系和市场体系。推动文化产业数字化，加快培育发展新型文化企业、文化业态、文化消费模式，打造一批龙头企业和特色平台。</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推进文旅产业融合。</w:t>
      </w:r>
      <w:r>
        <w:rPr>
          <w:rFonts w:hint="eastAsia" w:ascii="仿宋_GB2312" w:hAnsi="仿宋" w:eastAsia="仿宋_GB2312" w:cs="仿宋"/>
          <w:b w:val="0"/>
          <w:bCs w:val="0"/>
          <w:sz w:val="32"/>
          <w:szCs w:val="32"/>
        </w:rPr>
        <w:t>坚持大旅游、大文化、大融合思路，大力开展品牌创新活动，完善旅游基础设施，健全服务功能，提升服务水平，丰富旅游业态，文旅联动，融合提升，重点推进文化、旅游、康养、体育融合发展，引进一批冰雪、水域为主的精品赛事，打造多维文化平台。</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开发城市会客厅项目。</w:t>
      </w:r>
      <w:r>
        <w:rPr>
          <w:rFonts w:hint="eastAsia" w:ascii="仿宋_GB2312" w:hAnsi="仿宋" w:eastAsia="仿宋_GB2312" w:cs="仿宋"/>
          <w:b w:val="0"/>
          <w:bCs w:val="0"/>
          <w:sz w:val="32"/>
          <w:szCs w:val="32"/>
        </w:rPr>
        <w:t>充分发挥呼兰城市文化内涵，建设集城市文化展示馆、规划馆、酒店、会议中心、总部办公区、行政服务中心、文化产业孵化中心于一体的城市会客厅项目，进一步打造文化核心高地，不断集聚人气，形成呼兰新的“城市名片”。</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积极适应群众文体需求新变化。</w:t>
      </w:r>
      <w:r>
        <w:rPr>
          <w:rFonts w:hint="eastAsia" w:ascii="仿宋_GB2312" w:hAnsi="仿宋" w:eastAsia="仿宋_GB2312" w:cs="仿宋"/>
          <w:b w:val="0"/>
          <w:bCs w:val="0"/>
          <w:sz w:val="32"/>
          <w:szCs w:val="32"/>
        </w:rPr>
        <w:t>以群众分享社会进步成果为基点，发展文化体育事业，提升辖区整体软实力和竞争力。建设集文化超市、体育用品广场、艺术培训中心、健身养老休闲中心于</w:t>
      </w:r>
      <w:r>
        <w:rPr>
          <w:rFonts w:ascii="仿宋_GB2312" w:hAnsi="仿宋" w:eastAsia="仿宋_GB2312" w:cs="仿宋"/>
          <w:b w:val="0"/>
          <w:bCs w:val="0"/>
          <w:sz w:val="32"/>
          <w:szCs w:val="32"/>
        </w:rPr>
        <w:t>一体的群众文体活动载体</w:t>
      </w:r>
      <w:r>
        <w:rPr>
          <w:rFonts w:hint="eastAsia" w:ascii="仿宋_GB2312" w:hAnsi="仿宋" w:eastAsia="仿宋_GB2312" w:cs="仿宋"/>
          <w:b w:val="0"/>
          <w:bCs w:val="0"/>
          <w:sz w:val="32"/>
          <w:szCs w:val="32"/>
        </w:rPr>
        <w:t>，以重点项目建设引领文化产业发展，扩大文化产业规模，以乡村文化站建设为依托，培养乡村文化骨干力量，打造文化发展“轻骑兵”文化宣传队，推动文化产业提档升级，丰富人民群众业余文化生活。</w:t>
      </w:r>
    </w:p>
    <w:tbl>
      <w:tblPr>
        <w:tblStyle w:val="6"/>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525" w:type="dxa"/>
            <w:noWrap w:val="0"/>
            <w:vAlign w:val="top"/>
          </w:tcPr>
          <w:p>
            <w:pPr>
              <w:spacing w:before="240" w:after="240"/>
              <w:jc w:val="center"/>
              <w:outlineLvl w:val="5"/>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专栏</w:t>
            </w:r>
            <w:r>
              <w:rPr>
                <w:rFonts w:ascii="仿宋_GB2312" w:hAnsi="仿宋" w:eastAsia="仿宋_GB2312" w:cs="仿宋"/>
                <w:b w:val="0"/>
                <w:bCs w:val="0"/>
                <w:sz w:val="24"/>
                <w:szCs w:val="24"/>
              </w:rPr>
              <w:t xml:space="preserve">16 </w:t>
            </w:r>
            <w:r>
              <w:rPr>
                <w:rFonts w:hint="eastAsia" w:ascii="仿宋_GB2312" w:hAnsi="仿宋" w:eastAsia="仿宋_GB2312" w:cs="仿宋"/>
                <w:b w:val="0"/>
                <w:bCs w:val="0"/>
                <w:sz w:val="24"/>
                <w:szCs w:val="24"/>
              </w:rPr>
              <w:t>文化事业重点工程项目</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文体活动中心建设项目。占地面积约5万平方米。</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总部基地、城市会客厅项目。新建城市文化展示馆、规划馆、酒店、会议中心、总部办公区、行政服务中心、文化产业孵化中心等项目，实现区域内民俗文化展示、城市建设、城市规划展示、总部办公经济及住宿、会议接待等城市会客厅功能。</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革命烈士陵园维修改造和设备更新项目。</w:t>
            </w:r>
            <w:r>
              <w:rPr>
                <w:rFonts w:ascii="仿宋_GB2312" w:hAnsi="仿宋" w:eastAsia="仿宋_GB2312" w:cs="仿宋"/>
                <w:b w:val="0"/>
                <w:bCs w:val="0"/>
                <w:sz w:val="24"/>
                <w:szCs w:val="24"/>
              </w:rPr>
              <w:t>维修改造烈士纪念碑、烈士墓，维修烈士纪念墙、碑亭、碑廊等附属建筑。实施绿化、硬化、亮化工程。修建围墙、大门、广场、道路、公厕和垃圾处理设施，更新广播音响系统设备和升旗设备、修建事迹陈列馆。</w:t>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p>
        </w:tc>
      </w:tr>
    </w:tbl>
    <w:p>
      <w:pPr>
        <w:rPr>
          <w:rFonts w:hint="eastAsia"/>
          <w:b w:val="0"/>
          <w:bCs w:val="0"/>
        </w:rPr>
      </w:pPr>
      <w:bookmarkStart w:id="59" w:name="_Toc22788"/>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60" w:name="_Toc8686"/>
      <w:r>
        <w:rPr>
          <w:rFonts w:hint="eastAsia" w:ascii="黑体" w:hAnsi="黑体" w:eastAsia="黑体" w:cs="仿宋"/>
          <w:b w:val="0"/>
          <w:bCs w:val="0"/>
          <w:sz w:val="32"/>
          <w:szCs w:val="32"/>
        </w:rPr>
        <w:t>第四节 加快发展体育事业</w:t>
      </w:r>
      <w:bookmarkEnd w:id="59"/>
      <w:bookmarkEnd w:id="60"/>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统筹发展体育事业。</w:t>
      </w:r>
      <w:r>
        <w:rPr>
          <w:rFonts w:hint="eastAsia" w:ascii="仿宋_GB2312" w:hAnsi="仿宋" w:eastAsia="仿宋_GB2312" w:cs="仿宋"/>
          <w:b w:val="0"/>
          <w:bCs w:val="0"/>
          <w:sz w:val="32"/>
          <w:szCs w:val="32"/>
        </w:rPr>
        <w:t>提升全民身体素质，构建全民健身公共服务体系。加快体育强市建设进程，大力发展城市社区和行政机关、事业单位体育建设，加快发展农村体育和少数民族体育，鼓励动员社会力量举办形式多样的体育赛事活动，提高全民体育参与意识。推进“全民健身运动场馆”和“乡镇体育工程”建设。创新开展</w:t>
      </w:r>
      <w:r>
        <w:rPr>
          <w:rFonts w:ascii="仿宋_GB2312" w:hAnsi="仿宋" w:eastAsia="仿宋_GB2312" w:cs="仿宋"/>
          <w:b w:val="0"/>
          <w:bCs w:val="0"/>
          <w:sz w:val="32"/>
          <w:szCs w:val="32"/>
        </w:rPr>
        <w:t>“</w:t>
      </w:r>
      <w:r>
        <w:rPr>
          <w:rFonts w:hint="eastAsia" w:ascii="仿宋_GB2312" w:hAnsi="仿宋" w:eastAsia="仿宋_GB2312" w:cs="仿宋"/>
          <w:b w:val="0"/>
          <w:bCs w:val="0"/>
          <w:sz w:val="32"/>
          <w:szCs w:val="32"/>
        </w:rPr>
        <w:t>武术</w:t>
      </w:r>
      <w:r>
        <w:rPr>
          <w:rFonts w:ascii="仿宋_GB2312" w:hAnsi="仿宋" w:eastAsia="仿宋_GB2312" w:cs="仿宋"/>
          <w:b w:val="0"/>
          <w:bCs w:val="0"/>
          <w:sz w:val="32"/>
          <w:szCs w:val="32"/>
        </w:rPr>
        <w:t>进</w:t>
      </w:r>
      <w:r>
        <w:rPr>
          <w:rFonts w:hint="eastAsia" w:ascii="仿宋_GB2312" w:hAnsi="仿宋" w:eastAsia="仿宋_GB2312" w:cs="仿宋"/>
          <w:b w:val="0"/>
          <w:bCs w:val="0"/>
          <w:sz w:val="32"/>
          <w:szCs w:val="32"/>
        </w:rPr>
        <w:t>校园</w:t>
      </w:r>
      <w:r>
        <w:rPr>
          <w:rFonts w:ascii="仿宋_GB2312" w:hAnsi="仿宋" w:eastAsia="仿宋_GB2312" w:cs="仿宋"/>
          <w:b w:val="0"/>
          <w:bCs w:val="0"/>
          <w:sz w:val="32"/>
          <w:szCs w:val="32"/>
        </w:rPr>
        <w:t>”</w:t>
      </w:r>
      <w:r>
        <w:rPr>
          <w:rFonts w:hint="eastAsia" w:ascii="仿宋_GB2312" w:hAnsi="仿宋" w:eastAsia="仿宋_GB2312" w:cs="仿宋"/>
          <w:b w:val="0"/>
          <w:bCs w:val="0"/>
          <w:sz w:val="32"/>
          <w:szCs w:val="32"/>
        </w:rPr>
        <w:t>系列</w:t>
      </w:r>
      <w:r>
        <w:rPr>
          <w:rFonts w:ascii="仿宋_GB2312" w:hAnsi="仿宋" w:eastAsia="仿宋_GB2312" w:cs="仿宋"/>
          <w:b w:val="0"/>
          <w:bCs w:val="0"/>
          <w:sz w:val="32"/>
          <w:szCs w:val="32"/>
        </w:rPr>
        <w:t>活动。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合理布局体育设施建设。</w:t>
      </w:r>
      <w:r>
        <w:rPr>
          <w:rFonts w:hint="eastAsia" w:ascii="仿宋_GB2312" w:hAnsi="仿宋" w:eastAsia="仿宋_GB2312" w:cs="仿宋"/>
          <w:b w:val="0"/>
          <w:bCs w:val="0"/>
          <w:sz w:val="32"/>
          <w:szCs w:val="32"/>
        </w:rPr>
        <w:t>加强全民健身设施建设和管理，结合自然人文资源，大力推广武术、跆拳道、大秧歌、健身舞等竞技体育项目，扶持少数民族体育项目发展，鼓励开发适合老年人特点的体育休闲运动项目，推动健身跑、健步走、自行车、冰上运动等项目发展，深入挖掘群众健身热情。推动各级各类公共体育设施免费或低收费开放，降低群众健身成本。</w:t>
      </w:r>
    </w:p>
    <w:tbl>
      <w:tblPr>
        <w:tblStyle w:val="6"/>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8525" w:type="dxa"/>
            <w:noWrap w:val="0"/>
            <w:vAlign w:val="top"/>
          </w:tcPr>
          <w:p>
            <w:pPr>
              <w:spacing w:before="240" w:after="240"/>
              <w:jc w:val="center"/>
              <w:outlineLvl w:val="5"/>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专栏</w:t>
            </w:r>
            <w:r>
              <w:rPr>
                <w:rFonts w:ascii="仿宋_GB2312" w:hAnsi="仿宋" w:eastAsia="仿宋_GB2312" w:cs="仿宋"/>
                <w:b w:val="0"/>
                <w:bCs w:val="0"/>
                <w:sz w:val="24"/>
                <w:szCs w:val="24"/>
              </w:rPr>
              <w:t xml:space="preserve">17 </w:t>
            </w:r>
            <w:r>
              <w:rPr>
                <w:rFonts w:hint="eastAsia" w:ascii="仿宋_GB2312" w:hAnsi="仿宋" w:eastAsia="仿宋_GB2312" w:cs="仿宋"/>
                <w:b w:val="0"/>
                <w:bCs w:val="0"/>
                <w:sz w:val="24"/>
                <w:szCs w:val="24"/>
              </w:rPr>
              <w:t>体育事业重点工程项目</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呼兰区全民健身广场升级改造项目。</w:t>
            </w:r>
            <w:r>
              <w:rPr>
                <w:rFonts w:ascii="仿宋_GB2312" w:hAnsi="仿宋" w:eastAsia="仿宋_GB2312" w:cs="仿宋"/>
                <w:b w:val="0"/>
                <w:bCs w:val="0"/>
                <w:sz w:val="24"/>
                <w:szCs w:val="24"/>
              </w:rPr>
              <w:t>改造后需安装坐席约5000个；安装塑胶跑道；11人制标准足球场（人工草坪）改造；对主席台、功能房进行装修改造升级；安装户外电子屏、公共广播系统。</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哈尔滨原呼兰师专篮球馆</w:t>
            </w:r>
            <w:r>
              <w:rPr>
                <w:rFonts w:ascii="仿宋_GB2312" w:hAnsi="仿宋" w:eastAsia="仿宋_GB2312" w:cs="仿宋"/>
                <w:b w:val="0"/>
                <w:bCs w:val="0"/>
                <w:sz w:val="24"/>
                <w:szCs w:val="24"/>
              </w:rPr>
              <w:t>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总建筑面积4779.97平方米，</w:t>
            </w:r>
            <w:r>
              <w:rPr>
                <w:rFonts w:hint="eastAsia" w:ascii="仿宋_GB2312" w:hAnsi="仿宋" w:eastAsia="仿宋_GB2312" w:cs="仿宋"/>
                <w:b w:val="0"/>
                <w:bCs w:val="0"/>
                <w:sz w:val="24"/>
                <w:szCs w:val="24"/>
              </w:rPr>
              <w:t>建设</w:t>
            </w:r>
            <w:r>
              <w:rPr>
                <w:rFonts w:ascii="仿宋_GB2312" w:hAnsi="仿宋" w:eastAsia="仿宋_GB2312" w:cs="仿宋"/>
                <w:b w:val="0"/>
                <w:bCs w:val="0"/>
                <w:sz w:val="24"/>
                <w:szCs w:val="24"/>
              </w:rPr>
              <w:t>集篮球、羽毛球、跆拳道、舞蹈、击剑等体育项目培训、赛事、用品销售为一体的文体中心</w:t>
            </w:r>
            <w:r>
              <w:rPr>
                <w:rFonts w:hint="eastAsia" w:ascii="仿宋_GB2312" w:hAnsi="仿宋" w:eastAsia="仿宋_GB2312" w:cs="仿宋"/>
                <w:b w:val="0"/>
                <w:bCs w:val="0"/>
                <w:sz w:val="24"/>
                <w:szCs w:val="24"/>
              </w:rPr>
              <w:t>。</w:t>
            </w:r>
          </w:p>
        </w:tc>
      </w:tr>
    </w:tbl>
    <w:p>
      <w:pPr>
        <w:pStyle w:val="2"/>
        <w:rPr>
          <w:b w:val="0"/>
          <w:bCs w:val="0"/>
        </w:rPr>
      </w:pP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61" w:name="_Toc342"/>
      <w:r>
        <w:rPr>
          <w:rFonts w:hint="eastAsia" w:ascii="黑体" w:hAnsi="黑体" w:eastAsia="黑体" w:cs="仿宋"/>
          <w:b w:val="0"/>
          <w:bCs w:val="0"/>
          <w:sz w:val="32"/>
          <w:szCs w:val="32"/>
        </w:rPr>
        <w:t>第五节 推进健康呼兰建设</w:t>
      </w:r>
      <w:bookmarkEnd w:id="61"/>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继续推进分级诊疗。</w:t>
      </w:r>
      <w:r>
        <w:rPr>
          <w:rFonts w:hint="eastAsia" w:ascii="仿宋_GB2312" w:hAnsi="仿宋" w:eastAsia="仿宋_GB2312" w:cs="仿宋"/>
          <w:b w:val="0"/>
          <w:bCs w:val="0"/>
          <w:sz w:val="32"/>
          <w:szCs w:val="32"/>
        </w:rPr>
        <w:t>以构建整合型医疗服务体系为目标，推进分级诊疗制度建设，在持续做好疫情防控前提下，发展“互联网＋医疗健康”，做实医联体上下联动机制，推动分级诊疗见实效，保障群众就医需求，根据年度疫情变化及时调整医疗服务工作策略。</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持续改进医疗服务与质量。</w:t>
      </w:r>
      <w:r>
        <w:rPr>
          <w:rFonts w:hint="eastAsia" w:ascii="仿宋_GB2312" w:hAnsi="仿宋" w:eastAsia="仿宋_GB2312" w:cs="仿宋"/>
          <w:b w:val="0"/>
          <w:bCs w:val="0"/>
          <w:sz w:val="32"/>
          <w:szCs w:val="32"/>
        </w:rPr>
        <w:t>加强重点制度的建设与巩固，科学建立预约诊疗制度，不断完善远程医疗制度，继续扩大结果互认制度适用范围。加强重点服务的完善与优化，加强麻醉医疗服务，完成麻醉医师单独注册。着力推广多学科诊疗服务，扩大日间医疗服务范畴，优化急诊急救服务，开展长期用药的药学服务。建设呼兰残疾人康复疗养综合服务中心。以新冠肺炎疫情防控为契机，建立健全院感防控组织机构，配齐配全院感防控工作专业队伍，定期组织院感防控工作业务培训。</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加强重大疾病防治工作。</w:t>
      </w:r>
      <w:r>
        <w:rPr>
          <w:rFonts w:hint="eastAsia" w:ascii="仿宋_GB2312" w:hAnsi="仿宋" w:eastAsia="仿宋_GB2312" w:cs="仿宋"/>
          <w:b w:val="0"/>
          <w:bCs w:val="0"/>
          <w:sz w:val="32"/>
          <w:szCs w:val="32"/>
        </w:rPr>
        <w:t>强化传染病、结核病、艾滋病、呼吸系统疾病、慢病、精神疾病、地方病、职业病防治工作，开展慢病人群风险评估和重点癌症早诊早治，提高慢病规范化管理率，落实好慢病防治的惠民政策。</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加强医疗人才队伍建设。</w:t>
      </w:r>
      <w:r>
        <w:rPr>
          <w:rFonts w:hint="eastAsia" w:ascii="仿宋_GB2312" w:hAnsi="仿宋" w:eastAsia="仿宋_GB2312" w:cs="仿宋"/>
          <w:b w:val="0"/>
          <w:bCs w:val="0"/>
          <w:sz w:val="32"/>
          <w:szCs w:val="32"/>
        </w:rPr>
        <w:t>健全医护人员引进、培养、管理和激励约束机制。强化优质医疗人才优惠政策，大力引进和</w:t>
      </w:r>
      <w:r>
        <w:rPr>
          <w:rFonts w:ascii="仿宋_GB2312" w:hAnsi="仿宋" w:eastAsia="仿宋_GB2312" w:cs="仿宋"/>
          <w:b w:val="0"/>
          <w:bCs w:val="0"/>
          <w:sz w:val="32"/>
          <w:szCs w:val="32"/>
        </w:rPr>
        <w:t>培养</w:t>
      </w:r>
      <w:r>
        <w:rPr>
          <w:rFonts w:hint="eastAsia" w:ascii="仿宋_GB2312" w:hAnsi="仿宋" w:eastAsia="仿宋_GB2312" w:cs="仿宋"/>
          <w:b w:val="0"/>
          <w:bCs w:val="0"/>
          <w:sz w:val="32"/>
          <w:szCs w:val="32"/>
        </w:rPr>
        <w:t>优质医疗人才。加强业务培训和医德医风建设，全面推行医务人员培训上岗和继续教育制度。建设区域医疗中心门诊，诊断集中集约化。大力推进城乡医联体建设，培养乡村全科医生。培育中医医学带头人，积极推进公开招聘高等医学人才，使卫生人才资源总量稳步上升。</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加大医疗卫生基础服务能力建设。</w:t>
      </w:r>
      <w:r>
        <w:rPr>
          <w:rFonts w:hint="eastAsia" w:ascii="仿宋_GB2312" w:hAnsi="仿宋" w:eastAsia="仿宋_GB2312" w:cs="仿宋"/>
          <w:b w:val="0"/>
          <w:bCs w:val="0"/>
          <w:sz w:val="32"/>
          <w:szCs w:val="32"/>
        </w:rPr>
        <w:t>整合现有</w:t>
      </w:r>
      <w:r>
        <w:rPr>
          <w:rFonts w:ascii="仿宋_GB2312" w:hAnsi="仿宋" w:eastAsia="仿宋_GB2312" w:cs="仿宋"/>
          <w:b w:val="0"/>
          <w:bCs w:val="0"/>
          <w:sz w:val="32"/>
          <w:szCs w:val="32"/>
        </w:rPr>
        <w:t>医疗资源</w:t>
      </w:r>
      <w:r>
        <w:rPr>
          <w:rFonts w:hint="eastAsia" w:ascii="仿宋_GB2312" w:hAnsi="仿宋" w:eastAsia="仿宋_GB2312" w:cs="仿宋"/>
          <w:b w:val="0"/>
          <w:bCs w:val="0"/>
          <w:sz w:val="32"/>
          <w:szCs w:val="32"/>
        </w:rPr>
        <w:t>，</w:t>
      </w:r>
      <w:r>
        <w:rPr>
          <w:rFonts w:ascii="仿宋_GB2312" w:hAnsi="仿宋" w:eastAsia="仿宋_GB2312" w:cs="仿宋"/>
          <w:b w:val="0"/>
          <w:bCs w:val="0"/>
          <w:sz w:val="32"/>
          <w:szCs w:val="32"/>
        </w:rPr>
        <w:t>打造</w:t>
      </w:r>
      <w:r>
        <w:rPr>
          <w:rFonts w:hint="eastAsia" w:ascii="仿宋_GB2312" w:hAnsi="仿宋" w:eastAsia="仿宋_GB2312" w:cs="仿宋"/>
          <w:b w:val="0"/>
          <w:bCs w:val="0"/>
          <w:sz w:val="32"/>
          <w:szCs w:val="32"/>
        </w:rPr>
        <w:t>现代</w:t>
      </w:r>
      <w:r>
        <w:rPr>
          <w:rFonts w:ascii="仿宋_GB2312" w:hAnsi="仿宋" w:eastAsia="仿宋_GB2312" w:cs="仿宋"/>
          <w:b w:val="0"/>
          <w:bCs w:val="0"/>
          <w:sz w:val="32"/>
          <w:szCs w:val="32"/>
        </w:rPr>
        <w:t>医疗综合服务体。</w:t>
      </w:r>
      <w:r>
        <w:rPr>
          <w:rFonts w:hint="eastAsia" w:ascii="仿宋_GB2312" w:hAnsi="仿宋" w:eastAsia="仿宋_GB2312" w:cs="仿宋"/>
          <w:b w:val="0"/>
          <w:bCs w:val="0"/>
          <w:sz w:val="32"/>
          <w:szCs w:val="32"/>
        </w:rPr>
        <w:t>开展“优质服务基层行”活动，进一步改善医疗卫生服务环境，增强服务功能，积极争创省级“优质服务基层行”。加快基层医疗单位“医疗云”项目建设，完善“医疗云”管理系统，使区域内的医疗卫生资源信息实现共享和交换，打造居民全生命周期健康档案，就医诊疗“可溯源”信息系统。</w:t>
      </w:r>
    </w:p>
    <w:tbl>
      <w:tblPr>
        <w:tblStyle w:val="6"/>
        <w:tblW w:w="8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8741" w:type="dxa"/>
            <w:noWrap w:val="0"/>
            <w:vAlign w:val="top"/>
          </w:tcPr>
          <w:p>
            <w:pPr>
              <w:spacing w:before="240" w:after="240"/>
              <w:jc w:val="center"/>
              <w:outlineLvl w:val="5"/>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专栏</w:t>
            </w:r>
            <w:r>
              <w:rPr>
                <w:rFonts w:ascii="仿宋_GB2312" w:hAnsi="仿宋" w:eastAsia="仿宋_GB2312" w:cs="仿宋"/>
                <w:b w:val="0"/>
                <w:bCs w:val="0"/>
                <w:sz w:val="24"/>
                <w:szCs w:val="24"/>
              </w:rPr>
              <w:t xml:space="preserve">18 </w:t>
            </w:r>
            <w:r>
              <w:rPr>
                <w:rFonts w:hint="eastAsia" w:ascii="仿宋_GB2312" w:hAnsi="仿宋" w:eastAsia="仿宋_GB2312" w:cs="仿宋"/>
                <w:b w:val="0"/>
                <w:bCs w:val="0"/>
                <w:sz w:val="24"/>
                <w:szCs w:val="24"/>
              </w:rPr>
              <w:t>推进健康呼兰工程项目</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第一人民医院迁建、急救中心建设、新建发热门诊建设项目、血站急救中心迁建及设备购置。</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乡镇及社区卫生院（所）基础设施建设项目、村级卫生所基础设施建设项目。</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残疾人康复托养综合服务中心。</w:t>
            </w:r>
            <w:r>
              <w:rPr>
                <w:rFonts w:ascii="仿宋_GB2312" w:hAnsi="仿宋" w:eastAsia="仿宋_GB2312" w:cs="仿宋"/>
                <w:b w:val="0"/>
                <w:bCs w:val="0"/>
                <w:sz w:val="24"/>
                <w:szCs w:val="24"/>
              </w:rPr>
              <w:t>新建主建筑9200平方米</w:t>
            </w:r>
            <w:r>
              <w:rPr>
                <w:rFonts w:hint="eastAsia" w:ascii="仿宋_GB2312" w:hAnsi="仿宋" w:eastAsia="仿宋_GB2312" w:cs="仿宋"/>
                <w:b w:val="0"/>
                <w:bCs w:val="0"/>
                <w:sz w:val="24"/>
                <w:szCs w:val="24"/>
                <w:lang w:eastAsia="zh-CN"/>
              </w:rPr>
              <w:t>，</w:t>
            </w:r>
            <w:r>
              <w:rPr>
                <w:rFonts w:ascii="仿宋_GB2312" w:hAnsi="仿宋" w:eastAsia="仿宋_GB2312" w:cs="仿宋"/>
                <w:b w:val="0"/>
                <w:bCs w:val="0"/>
                <w:sz w:val="24"/>
                <w:szCs w:val="24"/>
              </w:rPr>
              <w:t>共6层</w:t>
            </w:r>
            <w:r>
              <w:rPr>
                <w:rFonts w:hint="eastAsia" w:ascii="仿宋_GB2312" w:hAnsi="仿宋" w:eastAsia="仿宋_GB2312" w:cs="仿宋"/>
                <w:b w:val="0"/>
                <w:bCs w:val="0"/>
                <w:sz w:val="24"/>
                <w:szCs w:val="24"/>
                <w:lang w:eastAsia="zh-CN"/>
              </w:rPr>
              <w:t>，</w:t>
            </w:r>
            <w:r>
              <w:rPr>
                <w:rFonts w:ascii="仿宋_GB2312" w:hAnsi="仿宋" w:eastAsia="仿宋_GB2312" w:cs="仿宋"/>
                <w:b w:val="0"/>
                <w:bCs w:val="0"/>
                <w:sz w:val="24"/>
                <w:szCs w:val="24"/>
              </w:rPr>
              <w:t>占地1850平方米。新建保安室</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锅炉房及仓库</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娱乐室</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室外无障碍厕所</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场地硬化、绿化及配套无障碍设施</w:t>
            </w:r>
            <w:r>
              <w:rPr>
                <w:rFonts w:hint="eastAsia" w:ascii="仿宋_GB2312" w:hAnsi="仿宋" w:eastAsia="仿宋_GB2312" w:cs="仿宋"/>
                <w:b w:val="0"/>
                <w:bCs w:val="0"/>
                <w:sz w:val="24"/>
                <w:szCs w:val="24"/>
              </w:rPr>
              <w:t>等。</w:t>
            </w:r>
          </w:p>
          <w:p>
            <w:pPr>
              <w:pStyle w:val="9"/>
              <w:rPr>
                <w:rFonts w:ascii="仿宋_GB2312" w:hAnsi="仿宋" w:eastAsia="仿宋_GB2312" w:cs="仿宋"/>
                <w:b w:val="0"/>
                <w:bCs w:val="0"/>
                <w:sz w:val="24"/>
                <w:szCs w:val="24"/>
                <w:shd w:val="clear" w:color="auto" w:fill="auto"/>
              </w:rPr>
            </w:pPr>
            <w:r>
              <w:rPr>
                <w:rFonts w:hint="eastAsia" w:ascii="仿宋_GB2312" w:hAnsi="仿宋" w:eastAsia="仿宋_GB2312" w:cs="仿宋"/>
                <w:b w:val="0"/>
                <w:bCs w:val="0"/>
                <w:sz w:val="24"/>
                <w:szCs w:val="24"/>
              </w:rPr>
              <w:t>卫生系统基层医疗机构房屋新建项目。</w:t>
            </w:r>
            <w:r>
              <w:rPr>
                <w:rFonts w:ascii="仿宋_GB2312" w:hAnsi="仿宋" w:eastAsia="仿宋_GB2312" w:cs="仿宋"/>
                <w:b w:val="0"/>
                <w:bCs w:val="0"/>
                <w:sz w:val="24"/>
                <w:szCs w:val="24"/>
                <w:shd w:val="clear" w:color="auto" w:fill="auto"/>
              </w:rPr>
              <w:t>二八镇中心卫生院拟新建2500</w:t>
            </w:r>
            <w:r>
              <w:rPr>
                <w:rFonts w:hint="eastAsia" w:ascii="仿宋_GB2312" w:hAnsi="仿宋" w:eastAsia="仿宋_GB2312" w:cs="仿宋"/>
                <w:b w:val="0"/>
                <w:bCs w:val="0"/>
                <w:sz w:val="24"/>
                <w:szCs w:val="24"/>
                <w:shd w:val="clear" w:color="auto" w:fill="auto"/>
                <w:lang w:eastAsia="zh-CN"/>
              </w:rPr>
              <w:t>平方</w:t>
            </w:r>
            <w:r>
              <w:rPr>
                <w:rFonts w:ascii="仿宋_GB2312" w:hAnsi="仿宋" w:eastAsia="仿宋_GB2312" w:cs="仿宋"/>
                <w:b w:val="0"/>
                <w:bCs w:val="0"/>
                <w:sz w:val="24"/>
                <w:szCs w:val="24"/>
                <w:shd w:val="clear" w:color="auto" w:fill="auto"/>
              </w:rPr>
              <w:t>米房屋建设发热门诊</w:t>
            </w:r>
            <w:r>
              <w:rPr>
                <w:rFonts w:hint="eastAsia" w:ascii="仿宋_GB2312" w:hAnsi="仿宋" w:eastAsia="仿宋_GB2312" w:cs="仿宋"/>
                <w:b w:val="0"/>
                <w:bCs w:val="0"/>
                <w:sz w:val="24"/>
                <w:szCs w:val="24"/>
                <w:shd w:val="clear" w:color="auto" w:fill="auto"/>
                <w:lang w:eastAsia="zh-CN"/>
              </w:rPr>
              <w:t>，</w:t>
            </w:r>
            <w:r>
              <w:rPr>
                <w:rFonts w:ascii="仿宋_GB2312" w:hAnsi="仿宋" w:eastAsia="仿宋_GB2312" w:cs="仿宋"/>
                <w:b w:val="0"/>
                <w:bCs w:val="0"/>
                <w:sz w:val="24"/>
                <w:szCs w:val="24"/>
                <w:shd w:val="clear" w:color="auto" w:fill="auto"/>
              </w:rPr>
              <w:t>解决呼兰区东部没有发热门诊问题</w:t>
            </w:r>
            <w:r>
              <w:rPr>
                <w:rFonts w:hint="eastAsia" w:ascii="仿宋_GB2312" w:hAnsi="仿宋" w:eastAsia="仿宋_GB2312" w:cs="仿宋"/>
                <w:b w:val="0"/>
                <w:bCs w:val="0"/>
                <w:sz w:val="24"/>
                <w:szCs w:val="24"/>
                <w:shd w:val="clear" w:color="auto" w:fill="auto"/>
                <w:lang w:eastAsia="zh-CN"/>
              </w:rPr>
              <w:t>。</w:t>
            </w:r>
            <w:r>
              <w:rPr>
                <w:rFonts w:ascii="仿宋_GB2312" w:hAnsi="仿宋" w:eastAsia="仿宋_GB2312" w:cs="仿宋"/>
                <w:b w:val="0"/>
                <w:bCs w:val="0"/>
                <w:sz w:val="24"/>
                <w:szCs w:val="24"/>
                <w:shd w:val="clear" w:color="auto" w:fill="auto"/>
              </w:rPr>
              <w:t>呼兰区石人镇卫生院似新建1700</w:t>
            </w:r>
            <w:r>
              <w:rPr>
                <w:rFonts w:hint="eastAsia" w:ascii="仿宋_GB2312" w:hAnsi="仿宋" w:eastAsia="仿宋_GB2312" w:cs="仿宋"/>
                <w:b w:val="0"/>
                <w:bCs w:val="0"/>
                <w:sz w:val="24"/>
                <w:szCs w:val="24"/>
                <w:shd w:val="clear" w:color="auto" w:fill="auto"/>
                <w:lang w:eastAsia="zh-CN"/>
              </w:rPr>
              <w:t>平方</w:t>
            </w:r>
            <w:r>
              <w:rPr>
                <w:rFonts w:ascii="仿宋_GB2312" w:hAnsi="仿宋" w:eastAsia="仿宋_GB2312" w:cs="仿宋"/>
                <w:b w:val="0"/>
                <w:bCs w:val="0"/>
                <w:sz w:val="24"/>
                <w:szCs w:val="24"/>
                <w:shd w:val="clear" w:color="auto" w:fill="auto"/>
              </w:rPr>
              <w:t>米卫生院。</w:t>
            </w:r>
            <w:r>
              <w:rPr>
                <w:rFonts w:ascii="仿宋_GB2312" w:hAnsi="仿宋" w:eastAsia="仿宋_GB2312" w:cs="仿宋"/>
                <w:b w:val="0"/>
                <w:bCs w:val="0"/>
                <w:sz w:val="24"/>
                <w:szCs w:val="24"/>
                <w:shd w:val="clear" w:color="auto" w:fill="auto"/>
              </w:rPr>
              <w:tab/>
            </w:r>
            <w:r>
              <w:rPr>
                <w:rFonts w:ascii="仿宋_GB2312" w:hAnsi="仿宋" w:eastAsia="仿宋_GB2312" w:cs="仿宋"/>
                <w:b w:val="0"/>
                <w:bCs w:val="0"/>
                <w:sz w:val="24"/>
                <w:szCs w:val="24"/>
                <w:shd w:val="clear" w:color="auto" w:fill="auto"/>
              </w:rPr>
              <w:tab/>
            </w:r>
            <w:r>
              <w:rPr>
                <w:rFonts w:ascii="仿宋_GB2312" w:hAnsi="仿宋" w:eastAsia="仿宋_GB2312" w:cs="仿宋"/>
                <w:b w:val="0"/>
                <w:bCs w:val="0"/>
                <w:sz w:val="24"/>
                <w:szCs w:val="24"/>
                <w:shd w:val="clear" w:color="auto" w:fill="auto"/>
              </w:rPr>
              <w:tab/>
            </w:r>
            <w:r>
              <w:rPr>
                <w:rFonts w:ascii="仿宋_GB2312" w:hAnsi="仿宋" w:eastAsia="仿宋_GB2312" w:cs="仿宋"/>
                <w:b w:val="0"/>
                <w:bCs w:val="0"/>
                <w:sz w:val="24"/>
                <w:szCs w:val="24"/>
                <w:shd w:val="clear" w:color="auto" w:fill="auto"/>
              </w:rPr>
              <w:tab/>
            </w:r>
            <w:r>
              <w:rPr>
                <w:rFonts w:ascii="仿宋_GB2312" w:hAnsi="仿宋" w:eastAsia="仿宋_GB2312" w:cs="仿宋"/>
                <w:b w:val="0"/>
                <w:bCs w:val="0"/>
                <w:sz w:val="24"/>
                <w:szCs w:val="24"/>
                <w:shd w:val="clear" w:color="auto" w:fill="auto"/>
              </w:rPr>
              <w:tab/>
            </w:r>
            <w:r>
              <w:rPr>
                <w:rFonts w:ascii="仿宋_GB2312" w:hAnsi="仿宋" w:eastAsia="仿宋_GB2312" w:cs="仿宋"/>
                <w:b w:val="0"/>
                <w:bCs w:val="0"/>
                <w:sz w:val="24"/>
                <w:szCs w:val="24"/>
                <w:shd w:val="clear" w:color="auto" w:fill="auto"/>
              </w:rPr>
              <w:tab/>
            </w:r>
          </w:p>
          <w:p>
            <w:pPr>
              <w:pStyle w:val="9"/>
              <w:rPr>
                <w:rFonts w:ascii="仿宋_GB2312" w:hAnsi="仿宋" w:eastAsia="仿宋_GB2312" w:cs="仿宋"/>
                <w:b w:val="0"/>
                <w:bCs w:val="0"/>
                <w:sz w:val="24"/>
                <w:szCs w:val="24"/>
                <w:shd w:val="clear" w:color="auto" w:fill="auto"/>
              </w:rPr>
            </w:pPr>
            <w:r>
              <w:rPr>
                <w:rFonts w:hint="eastAsia" w:ascii="仿宋_GB2312" w:hAnsi="仿宋" w:eastAsia="仿宋_GB2312" w:cs="仿宋"/>
                <w:b w:val="0"/>
                <w:bCs w:val="0"/>
                <w:sz w:val="24"/>
                <w:szCs w:val="24"/>
                <w:shd w:val="clear" w:color="auto" w:fill="auto"/>
              </w:rPr>
              <w:t>呼兰区发热门诊新建及设备购置项目。</w:t>
            </w:r>
            <w:r>
              <w:rPr>
                <w:rFonts w:ascii="仿宋_GB2312" w:hAnsi="仿宋" w:eastAsia="仿宋_GB2312" w:cs="仿宋"/>
                <w:b w:val="0"/>
                <w:bCs w:val="0"/>
                <w:sz w:val="24"/>
                <w:szCs w:val="24"/>
                <w:shd w:val="clear" w:color="auto" w:fill="auto"/>
              </w:rPr>
              <w:t>占地8000</w:t>
            </w:r>
            <w:r>
              <w:rPr>
                <w:rFonts w:hint="eastAsia" w:ascii="仿宋_GB2312" w:hAnsi="仿宋" w:eastAsia="仿宋_GB2312" w:cs="仿宋"/>
                <w:b w:val="0"/>
                <w:bCs w:val="0"/>
                <w:sz w:val="24"/>
                <w:szCs w:val="24"/>
                <w:shd w:val="clear" w:color="auto" w:fill="auto"/>
                <w:lang w:eastAsia="zh-CN"/>
              </w:rPr>
              <w:t>平方</w:t>
            </w:r>
            <w:r>
              <w:rPr>
                <w:rFonts w:ascii="仿宋_GB2312" w:hAnsi="仿宋" w:eastAsia="仿宋_GB2312" w:cs="仿宋"/>
                <w:b w:val="0"/>
                <w:bCs w:val="0"/>
                <w:sz w:val="24"/>
                <w:szCs w:val="24"/>
                <w:shd w:val="clear" w:color="auto" w:fill="auto"/>
              </w:rPr>
              <w:t>米，建筑面积7800</w:t>
            </w:r>
            <w:r>
              <w:rPr>
                <w:rFonts w:hint="eastAsia" w:ascii="仿宋_GB2312" w:hAnsi="仿宋" w:eastAsia="仿宋_GB2312" w:cs="仿宋"/>
                <w:b w:val="0"/>
                <w:bCs w:val="0"/>
                <w:sz w:val="24"/>
                <w:szCs w:val="24"/>
                <w:shd w:val="clear" w:color="auto" w:fill="auto"/>
                <w:lang w:eastAsia="zh-CN"/>
              </w:rPr>
              <w:t>平方</w:t>
            </w:r>
            <w:r>
              <w:rPr>
                <w:rFonts w:ascii="仿宋_GB2312" w:hAnsi="仿宋" w:eastAsia="仿宋_GB2312" w:cs="仿宋"/>
                <w:b w:val="0"/>
                <w:bCs w:val="0"/>
                <w:sz w:val="24"/>
                <w:szCs w:val="24"/>
                <w:shd w:val="clear" w:color="auto" w:fill="auto"/>
              </w:rPr>
              <w:t>米（发热门诊2000</w:t>
            </w:r>
            <w:r>
              <w:rPr>
                <w:rFonts w:hint="eastAsia" w:ascii="仿宋_GB2312" w:hAnsi="仿宋" w:eastAsia="仿宋_GB2312" w:cs="仿宋"/>
                <w:b w:val="0"/>
                <w:bCs w:val="0"/>
                <w:sz w:val="24"/>
                <w:szCs w:val="24"/>
                <w:shd w:val="clear" w:color="auto" w:fill="auto"/>
                <w:lang w:eastAsia="zh-CN"/>
              </w:rPr>
              <w:t>平方</w:t>
            </w:r>
            <w:r>
              <w:rPr>
                <w:rFonts w:ascii="仿宋_GB2312" w:hAnsi="仿宋" w:eastAsia="仿宋_GB2312" w:cs="仿宋"/>
                <w:b w:val="0"/>
                <w:bCs w:val="0"/>
                <w:sz w:val="24"/>
                <w:szCs w:val="24"/>
                <w:shd w:val="clear" w:color="auto" w:fill="auto"/>
              </w:rPr>
              <w:t>米，住院部3000</w:t>
            </w:r>
            <w:r>
              <w:rPr>
                <w:rFonts w:hint="eastAsia" w:ascii="仿宋_GB2312" w:hAnsi="仿宋" w:eastAsia="仿宋_GB2312" w:cs="仿宋"/>
                <w:b w:val="0"/>
                <w:bCs w:val="0"/>
                <w:sz w:val="24"/>
                <w:szCs w:val="24"/>
                <w:shd w:val="clear" w:color="auto" w:fill="auto"/>
                <w:lang w:eastAsia="zh-CN"/>
              </w:rPr>
              <w:t>平方</w:t>
            </w:r>
            <w:r>
              <w:rPr>
                <w:rFonts w:ascii="仿宋_GB2312" w:hAnsi="仿宋" w:eastAsia="仿宋_GB2312" w:cs="仿宋"/>
                <w:b w:val="0"/>
                <w:bCs w:val="0"/>
                <w:sz w:val="24"/>
                <w:szCs w:val="24"/>
                <w:shd w:val="clear" w:color="auto" w:fill="auto"/>
              </w:rPr>
              <w:t>米，宿舍楼2800</w:t>
            </w:r>
            <w:r>
              <w:rPr>
                <w:rFonts w:hint="eastAsia" w:ascii="仿宋_GB2312" w:hAnsi="仿宋" w:eastAsia="仿宋_GB2312" w:cs="仿宋"/>
                <w:b w:val="0"/>
                <w:bCs w:val="0"/>
                <w:sz w:val="24"/>
                <w:szCs w:val="24"/>
                <w:shd w:val="clear" w:color="auto" w:fill="auto"/>
                <w:lang w:eastAsia="zh-CN"/>
              </w:rPr>
              <w:t>平方</w:t>
            </w:r>
            <w:r>
              <w:rPr>
                <w:rFonts w:ascii="仿宋_GB2312" w:hAnsi="仿宋" w:eastAsia="仿宋_GB2312" w:cs="仿宋"/>
                <w:b w:val="0"/>
                <w:bCs w:val="0"/>
                <w:sz w:val="24"/>
                <w:szCs w:val="24"/>
                <w:shd w:val="clear" w:color="auto" w:fill="auto"/>
              </w:rPr>
              <w:t>米）。购置污水处理系统、CT32排、DR等设备。</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呼兰区卫生系统基层机构房屋修缮项目。</w:t>
            </w:r>
            <w:r>
              <w:rPr>
                <w:rFonts w:hint="eastAsia" w:ascii="仿宋_GB2312" w:hAnsi="仿宋" w:eastAsia="仿宋_GB2312" w:cs="仿宋"/>
                <w:b w:val="0"/>
                <w:bCs w:val="0"/>
                <w:sz w:val="24"/>
                <w:szCs w:val="24"/>
                <w:lang w:eastAsia="zh-CN"/>
              </w:rPr>
              <w:t>对</w:t>
            </w:r>
            <w:r>
              <w:rPr>
                <w:rFonts w:ascii="仿宋_GB2312" w:hAnsi="仿宋" w:eastAsia="仿宋_GB2312" w:cs="仿宋"/>
                <w:b w:val="0"/>
                <w:bCs w:val="0"/>
                <w:sz w:val="24"/>
                <w:szCs w:val="24"/>
              </w:rPr>
              <w:t>9家卫生院、8家社区卫生服务中心、1家社区卫生服务站的房屋内外墙体、水、电、暖、门等进行修缮，根据疫情需要，还需对相关的房屋进行改造。</w:t>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p>
          <w:p>
            <w:pPr>
              <w:pStyle w:val="9"/>
              <w:rPr>
                <w:rFonts w:hint="eastAsia" w:ascii="仿宋_GB2312" w:hAnsi="仿宋" w:eastAsia="仿宋_GB2312" w:cs="仿宋"/>
                <w:b w:val="0"/>
                <w:bCs w:val="0"/>
                <w:sz w:val="24"/>
                <w:szCs w:val="24"/>
              </w:rPr>
            </w:pPr>
            <w:r>
              <w:rPr>
                <w:rFonts w:hint="eastAsia" w:ascii="仿宋_GB2312" w:hAnsi="仿宋" w:eastAsia="仿宋_GB2312" w:cs="仿宋"/>
                <w:b w:val="0"/>
                <w:bCs w:val="0"/>
                <w:sz w:val="24"/>
                <w:szCs w:val="24"/>
              </w:rPr>
              <w:t>设备购置</w:t>
            </w:r>
            <w:r>
              <w:rPr>
                <w:rFonts w:ascii="仿宋_GB2312" w:hAnsi="仿宋" w:eastAsia="仿宋_GB2312" w:cs="仿宋"/>
                <w:b w:val="0"/>
                <w:bCs w:val="0"/>
                <w:sz w:val="24"/>
                <w:szCs w:val="24"/>
              </w:rPr>
              <w:t>项目</w:t>
            </w:r>
            <w:r>
              <w:rPr>
                <w:rFonts w:hint="eastAsia" w:ascii="仿宋_GB2312" w:hAnsi="仿宋" w:eastAsia="仿宋_GB2312" w:cs="仿宋"/>
                <w:b w:val="0"/>
                <w:bCs w:val="0"/>
                <w:sz w:val="24"/>
                <w:szCs w:val="24"/>
              </w:rPr>
              <w:t>。红十字医院、中医医院、第二人民医院、基层医疗机构医疗设备购置。</w:t>
            </w:r>
          </w:p>
          <w:p>
            <w:pPr>
              <w:pStyle w:val="9"/>
              <w:rPr>
                <w:rFonts w:hint="eastAsia" w:ascii="仿宋_GB2312" w:hAnsi="仿宋" w:eastAsia="仿宋_GB2312" w:cs="仿宋"/>
                <w:b w:val="0"/>
                <w:bCs w:val="0"/>
                <w:sz w:val="24"/>
                <w:szCs w:val="24"/>
              </w:rPr>
            </w:pPr>
            <w:r>
              <w:rPr>
                <w:rFonts w:ascii="仿宋_GB2312" w:hAnsi="仿宋" w:eastAsia="仿宋_GB2312" w:cs="仿宋"/>
                <w:b w:val="0"/>
                <w:bCs w:val="0"/>
                <w:sz w:val="24"/>
                <w:szCs w:val="24"/>
              </w:rPr>
              <w:t>呼兰区第一</w:t>
            </w:r>
            <w:r>
              <w:rPr>
                <w:rFonts w:hint="eastAsia" w:ascii="仿宋_GB2312" w:hAnsi="仿宋" w:eastAsia="仿宋_GB2312" w:cs="仿宋"/>
                <w:b w:val="0"/>
                <w:bCs w:val="0"/>
                <w:sz w:val="24"/>
                <w:szCs w:val="24"/>
              </w:rPr>
              <w:t>、第二</w:t>
            </w:r>
            <w:r>
              <w:rPr>
                <w:rFonts w:ascii="仿宋_GB2312" w:hAnsi="仿宋" w:eastAsia="仿宋_GB2312" w:cs="仿宋"/>
                <w:b w:val="0"/>
                <w:bCs w:val="0"/>
                <w:sz w:val="24"/>
                <w:szCs w:val="24"/>
              </w:rPr>
              <w:t>殡仪馆改扩建项目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殡仪馆新建、改扩建项目。环保型火化炉更新改造项目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骨灰寄存楼新建改扩建项目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消防改造项目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殡葬管理服务信息系统项目</w:t>
            </w:r>
            <w:r>
              <w:rPr>
                <w:rFonts w:hint="eastAsia" w:ascii="仿宋_GB2312" w:hAnsi="仿宋" w:eastAsia="仿宋_GB2312" w:cs="仿宋"/>
                <w:b w:val="0"/>
                <w:bCs w:val="0"/>
                <w:sz w:val="24"/>
                <w:szCs w:val="24"/>
              </w:rPr>
              <w:t>等。</w:t>
            </w:r>
          </w:p>
        </w:tc>
      </w:tr>
    </w:tbl>
    <w:p>
      <w:pPr>
        <w:rPr>
          <w:b w:val="0"/>
          <w:bCs w:val="0"/>
        </w:rPr>
      </w:pPr>
      <w:bookmarkStart w:id="62" w:name="_Toc17985"/>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63" w:name="_Toc12535"/>
      <w:r>
        <w:rPr>
          <w:rFonts w:hint="eastAsia" w:ascii="黑体" w:hAnsi="黑体" w:eastAsia="黑体" w:cs="仿宋"/>
          <w:b w:val="0"/>
          <w:bCs w:val="0"/>
          <w:sz w:val="32"/>
          <w:szCs w:val="32"/>
        </w:rPr>
        <w:t>第六节 完善住房保障体系</w:t>
      </w:r>
      <w:bookmarkEnd w:id="62"/>
      <w:bookmarkEnd w:id="63"/>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促进房地产市场平稳健康有序发展。</w:t>
      </w:r>
      <w:r>
        <w:rPr>
          <w:rFonts w:hint="eastAsia" w:ascii="仿宋_GB2312" w:hAnsi="仿宋" w:eastAsia="仿宋_GB2312" w:cs="仿宋"/>
          <w:b w:val="0"/>
          <w:bCs w:val="0"/>
          <w:sz w:val="32"/>
          <w:szCs w:val="32"/>
        </w:rPr>
        <w:t>加大房地产调控力度，严厉打击违法违规行为，加强建筑市场、房地产交易市场资金监管力度，要大力培育和发展租赁住房市场，规范二手房交易行为，基本形成较为完善的住房市场供应体系，确保房地产市场平稳运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稳步推进保障性安居工程建设。</w:t>
      </w:r>
      <w:r>
        <w:rPr>
          <w:rFonts w:hint="eastAsia" w:ascii="仿宋_GB2312" w:hAnsi="仿宋" w:eastAsia="仿宋_GB2312" w:cs="仿宋"/>
          <w:b w:val="0"/>
          <w:bCs w:val="0"/>
          <w:sz w:val="32"/>
          <w:szCs w:val="32"/>
        </w:rPr>
        <w:t>通过建立政策性租赁住房、人才安居住房、老旧小区和棚户区改造等多位一体的保障性安居工程，完善保障性住房建设和筹集机制，坚持新建、改建、购买、货币补贴、长期租赁、盘活存量等方式相结合，多渠道筹集保障性住房。强化政府政策支持和资金投入，鼓励社会资本参与保障性住房建设和运营。基本实现“住有所居”的住房保障目标，对低收入家庭的住房实现“应保尽保”。</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 w:eastAsia="仿宋_GB2312" w:cs="仿宋"/>
          <w:b w:val="0"/>
          <w:bCs w:val="0"/>
          <w:sz w:val="32"/>
          <w:szCs w:val="32"/>
        </w:rPr>
      </w:pPr>
      <w:r>
        <w:rPr>
          <w:rFonts w:hint="eastAsia" w:ascii="楷体" w:hAnsi="楷体" w:eastAsia="楷体" w:cs="楷体"/>
          <w:b w:val="0"/>
          <w:bCs w:val="0"/>
          <w:sz w:val="32"/>
          <w:szCs w:val="32"/>
        </w:rPr>
        <w:t>加快实施城市更新改造工程。</w:t>
      </w:r>
      <w:r>
        <w:rPr>
          <w:rFonts w:hint="eastAsia" w:ascii="仿宋_GB2312" w:hAnsi="仿宋" w:eastAsia="仿宋_GB2312" w:cs="仿宋"/>
          <w:b w:val="0"/>
          <w:bCs w:val="0"/>
          <w:sz w:val="32"/>
          <w:szCs w:val="32"/>
        </w:rPr>
        <w:t>加大对城市老旧小区的综合整治力度，重点对消防、管线、路网、环境等问题进行治理，消除居住区安全隐患，完善相关公共服务配套，继续推进老旧小区加装电梯项目，增加小区绿化面积等民生工程。按照“尽力而为、量力而行”的基本原则对剩余棚户区、城中村有序改造。实现残疾人居家无障碍改造全覆盖；新建公共场所、设施及居民楼区实现无障碍基本功能全覆盖；老旧公共场所、设施及居民楼区无障碍改造稳步完善；探索推进残障人士信息无障碍系统建设。</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努力提高人居生活品质。</w:t>
      </w:r>
      <w:r>
        <w:rPr>
          <w:rFonts w:hint="eastAsia" w:ascii="仿宋_GB2312" w:hAnsi="仿宋" w:eastAsia="仿宋_GB2312" w:cs="仿宋"/>
          <w:b w:val="0"/>
          <w:bCs w:val="0"/>
          <w:sz w:val="32"/>
          <w:szCs w:val="32"/>
        </w:rPr>
        <w:t>通过建立完善的住房供应体系，在满足居民基本居住需要的基础上，进一步优化居住环境，完备住房功能，提高住宅产品品质。深入实施物业管理条例，发挥业委会</w:t>
      </w:r>
      <w:r>
        <w:rPr>
          <w:rFonts w:ascii="仿宋_GB2312" w:hAnsi="仿宋" w:eastAsia="仿宋_GB2312" w:cs="仿宋"/>
          <w:b w:val="0"/>
          <w:bCs w:val="0"/>
          <w:sz w:val="32"/>
          <w:szCs w:val="32"/>
        </w:rPr>
        <w:t>(物管会)和物业行业协会作用，开展物业管理突出问题专项治理</w:t>
      </w:r>
      <w:r>
        <w:rPr>
          <w:rFonts w:hint="eastAsia" w:ascii="仿宋_GB2312" w:hAnsi="仿宋" w:eastAsia="仿宋_GB2312" w:cs="仿宋"/>
          <w:b w:val="0"/>
          <w:bCs w:val="0"/>
          <w:sz w:val="32"/>
          <w:szCs w:val="32"/>
        </w:rPr>
        <w:t>，</w:t>
      </w:r>
      <w:r>
        <w:rPr>
          <w:rFonts w:ascii="仿宋_GB2312" w:hAnsi="仿宋" w:eastAsia="仿宋_GB2312" w:cs="仿宋"/>
          <w:b w:val="0"/>
          <w:bCs w:val="0"/>
          <w:sz w:val="32"/>
          <w:szCs w:val="32"/>
        </w:rPr>
        <w:t>着力提高物业服务水平，小区物业实现提质扩面。大力推动绿色建筑发展</w:t>
      </w:r>
      <w:r>
        <w:rPr>
          <w:rFonts w:hint="eastAsia" w:ascii="仿宋_GB2312" w:hAnsi="仿宋" w:eastAsia="仿宋_GB2312" w:cs="仿宋"/>
          <w:b w:val="0"/>
          <w:bCs w:val="0"/>
          <w:sz w:val="32"/>
          <w:szCs w:val="32"/>
        </w:rPr>
        <w:t>。</w:t>
      </w:r>
      <w:r>
        <w:rPr>
          <w:rFonts w:ascii="仿宋_GB2312" w:hAnsi="仿宋" w:eastAsia="仿宋_GB2312" w:cs="仿宋"/>
          <w:b w:val="0"/>
          <w:bCs w:val="0"/>
          <w:sz w:val="32"/>
          <w:szCs w:val="32"/>
        </w:rPr>
        <w:t>进一步落实新建住房项目周边配套设施“同步规划、同步建设、同步交付”要求</w:t>
      </w:r>
      <w:r>
        <w:rPr>
          <w:rFonts w:hint="eastAsia" w:ascii="仿宋_GB2312" w:hAnsi="仿宋" w:eastAsia="仿宋_GB2312" w:cs="仿宋"/>
          <w:b w:val="0"/>
          <w:bCs w:val="0"/>
          <w:sz w:val="32"/>
          <w:szCs w:val="32"/>
        </w:rPr>
        <w:t>，保障</w:t>
      </w:r>
      <w:r>
        <w:rPr>
          <w:rFonts w:ascii="仿宋_GB2312" w:hAnsi="仿宋" w:eastAsia="仿宋_GB2312" w:cs="仿宋"/>
          <w:b w:val="0"/>
          <w:bCs w:val="0"/>
          <w:sz w:val="32"/>
          <w:szCs w:val="32"/>
        </w:rPr>
        <w:t>居住环境得到明显改善</w:t>
      </w:r>
      <w:r>
        <w:rPr>
          <w:rFonts w:hint="eastAsia" w:ascii="仿宋_GB2312" w:hAnsi="仿宋" w:eastAsia="仿宋_GB2312" w:cs="仿宋"/>
          <w:b w:val="0"/>
          <w:bCs w:val="0"/>
          <w:sz w:val="32"/>
          <w:szCs w:val="32"/>
        </w:rPr>
        <w:t>。</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755" w:type="dxa"/>
            <w:noWrap w:val="0"/>
            <w:vAlign w:val="top"/>
          </w:tcPr>
          <w:p>
            <w:pPr>
              <w:spacing w:before="240" w:after="240"/>
              <w:jc w:val="center"/>
              <w:outlineLvl w:val="5"/>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专栏</w:t>
            </w:r>
            <w:r>
              <w:rPr>
                <w:rFonts w:ascii="仿宋_GB2312" w:hAnsi="仿宋" w:eastAsia="仿宋_GB2312" w:cs="仿宋"/>
                <w:b w:val="0"/>
                <w:bCs w:val="0"/>
                <w:sz w:val="24"/>
                <w:szCs w:val="24"/>
              </w:rPr>
              <w:t xml:space="preserve">19 </w:t>
            </w:r>
            <w:r>
              <w:rPr>
                <w:rFonts w:hint="eastAsia" w:ascii="仿宋_GB2312" w:hAnsi="仿宋" w:eastAsia="仿宋_GB2312" w:cs="仿宋"/>
                <w:b w:val="0"/>
                <w:bCs w:val="0"/>
                <w:sz w:val="24"/>
                <w:szCs w:val="24"/>
              </w:rPr>
              <w:t>保障性住房重点工程项目</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富强</w:t>
            </w:r>
            <w:r>
              <w:rPr>
                <w:rFonts w:ascii="仿宋_GB2312" w:hAnsi="仿宋" w:eastAsia="仿宋_GB2312" w:cs="仿宋"/>
                <w:b w:val="0"/>
                <w:bCs w:val="0"/>
                <w:sz w:val="24"/>
                <w:szCs w:val="24"/>
              </w:rPr>
              <w:t>HL-01-12-01棚改项目</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棚户区改造118464平方米</w:t>
            </w:r>
            <w:r>
              <w:rPr>
                <w:rFonts w:hint="eastAsia" w:ascii="仿宋_GB2312" w:hAnsi="仿宋" w:eastAsia="仿宋_GB2312" w:cs="仿宋"/>
                <w:b w:val="0"/>
                <w:bCs w:val="0"/>
                <w:sz w:val="24"/>
                <w:szCs w:val="24"/>
              </w:rPr>
              <w:t>。</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瑞凯三期项目。</w:t>
            </w:r>
            <w:r>
              <w:rPr>
                <w:rFonts w:ascii="仿宋_GB2312" w:hAnsi="仿宋" w:eastAsia="仿宋_GB2312" w:cs="仿宋"/>
                <w:b w:val="0"/>
                <w:bCs w:val="0"/>
                <w:sz w:val="24"/>
                <w:szCs w:val="24"/>
              </w:rPr>
              <w:t>总面积51382平方米，征收272户，房屋建筑面积12795.74平方米。</w:t>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乳品厂</w:t>
            </w:r>
            <w:r>
              <w:rPr>
                <w:rFonts w:ascii="仿宋_GB2312" w:hAnsi="仿宋" w:eastAsia="仿宋_GB2312" w:cs="仿宋"/>
                <w:b w:val="0"/>
                <w:bCs w:val="0"/>
                <w:sz w:val="24"/>
                <w:szCs w:val="24"/>
              </w:rPr>
              <w:t>B地块</w:t>
            </w:r>
            <w:r>
              <w:rPr>
                <w:rFonts w:hint="eastAsia" w:ascii="仿宋_GB2312" w:hAnsi="仿宋" w:eastAsia="仿宋_GB2312" w:cs="仿宋"/>
                <w:b w:val="0"/>
                <w:bCs w:val="0"/>
                <w:sz w:val="24"/>
                <w:szCs w:val="24"/>
              </w:rPr>
              <w:t>。</w:t>
            </w:r>
            <w:r>
              <w:rPr>
                <w:rFonts w:ascii="仿宋_GB2312" w:hAnsi="仿宋" w:eastAsia="仿宋_GB2312" w:cs="仿宋"/>
                <w:b w:val="0"/>
                <w:bCs w:val="0"/>
                <w:sz w:val="24"/>
                <w:szCs w:val="24"/>
              </w:rPr>
              <w:t>征收总面积51694平方米，房屋建筑面积23763平方米，涉及征收居民245</w:t>
            </w:r>
            <w:r>
              <w:rPr>
                <w:rFonts w:hint="eastAsia" w:ascii="仿宋_GB2312" w:hAnsi="仿宋" w:eastAsia="仿宋_GB2312" w:cs="仿宋"/>
                <w:b w:val="0"/>
                <w:bCs w:val="0"/>
                <w:sz w:val="24"/>
                <w:szCs w:val="24"/>
              </w:rPr>
              <w:t>户</w:t>
            </w:r>
            <w:r>
              <w:rPr>
                <w:rFonts w:ascii="仿宋_GB2312" w:hAnsi="仿宋" w:eastAsia="仿宋_GB2312" w:cs="仿宋"/>
                <w:b w:val="0"/>
                <w:bCs w:val="0"/>
                <w:sz w:val="24"/>
                <w:szCs w:val="24"/>
              </w:rPr>
              <w:t>。一期棚改项目征收145户，项目已建成。二期棚改项目征收100户，土地待挂牌。</w:t>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r>
              <w:rPr>
                <w:rFonts w:ascii="仿宋_GB2312" w:hAnsi="仿宋" w:eastAsia="仿宋_GB2312" w:cs="仿宋"/>
                <w:b w:val="0"/>
                <w:bCs w:val="0"/>
                <w:sz w:val="24"/>
                <w:szCs w:val="24"/>
              </w:rPr>
              <w:tab/>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盛福家园二期。</w:t>
            </w:r>
            <w:r>
              <w:rPr>
                <w:rFonts w:ascii="仿宋_GB2312" w:hAnsi="仿宋" w:eastAsia="仿宋_GB2312" w:cs="仿宋"/>
                <w:b w:val="0"/>
                <w:bCs w:val="0"/>
                <w:sz w:val="24"/>
                <w:szCs w:val="24"/>
              </w:rPr>
              <w:t>征收总面积43707平方米，房屋建筑面积32453.63</w:t>
            </w:r>
            <w:r>
              <w:rPr>
                <w:rFonts w:hint="eastAsia" w:ascii="仿宋_GB2312" w:hAnsi="仿宋" w:eastAsia="仿宋_GB2312" w:cs="仿宋"/>
                <w:b w:val="0"/>
                <w:bCs w:val="0"/>
                <w:sz w:val="24"/>
                <w:szCs w:val="24"/>
              </w:rPr>
              <w:t>平方米</w:t>
            </w:r>
            <w:r>
              <w:rPr>
                <w:rFonts w:ascii="仿宋_GB2312" w:hAnsi="仿宋" w:eastAsia="仿宋_GB2312" w:cs="仿宋"/>
                <w:b w:val="0"/>
                <w:bCs w:val="0"/>
                <w:sz w:val="24"/>
                <w:szCs w:val="24"/>
              </w:rPr>
              <w:t>，涉及征收居民320户</w:t>
            </w:r>
            <w:r>
              <w:rPr>
                <w:rFonts w:hint="eastAsia" w:ascii="仿宋_GB2312" w:hAnsi="仿宋" w:eastAsia="仿宋_GB2312" w:cs="仿宋"/>
                <w:b w:val="0"/>
                <w:bCs w:val="0"/>
                <w:sz w:val="24"/>
                <w:szCs w:val="24"/>
              </w:rPr>
              <w:t>。</w:t>
            </w:r>
          </w:p>
          <w:p>
            <w:pPr>
              <w:pStyle w:val="9"/>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光明社区三委七委棚改项目。</w:t>
            </w:r>
            <w:r>
              <w:rPr>
                <w:rFonts w:ascii="仿宋_GB2312" w:hAnsi="仿宋" w:eastAsia="仿宋_GB2312" w:cs="仿宋"/>
                <w:b w:val="0"/>
                <w:bCs w:val="0"/>
                <w:sz w:val="24"/>
                <w:szCs w:val="24"/>
              </w:rPr>
              <w:t>征收用地面积约280556平方米，拆迁面积约10.78万平方米。该地块现有居民752户（其中棚户区居民524户，老旧住宅楼两栋，居民228户）</w:t>
            </w:r>
            <w:r>
              <w:rPr>
                <w:rFonts w:hint="eastAsia" w:ascii="仿宋_GB2312" w:hAnsi="仿宋" w:eastAsia="仿宋_GB2312" w:cs="仿宋"/>
                <w:b w:val="0"/>
                <w:bCs w:val="0"/>
                <w:sz w:val="24"/>
                <w:szCs w:val="24"/>
              </w:rPr>
              <w:t>。</w:t>
            </w:r>
          </w:p>
        </w:tc>
      </w:tr>
    </w:tbl>
    <w:p>
      <w:pPr>
        <w:rPr>
          <w:rFonts w:hint="eastAsia"/>
          <w:b w:val="0"/>
          <w:bCs w:val="0"/>
        </w:rPr>
      </w:pPr>
      <w:bookmarkStart w:id="64" w:name="_Toc6127410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ascii="黑体" w:hAnsi="黑体" w:eastAsia="黑体" w:cs="仿宋"/>
          <w:b w:val="0"/>
          <w:bCs w:val="0"/>
          <w:sz w:val="32"/>
          <w:szCs w:val="32"/>
        </w:rPr>
      </w:pPr>
      <w:bookmarkStart w:id="65" w:name="_Toc13684"/>
      <w:r>
        <w:rPr>
          <w:rFonts w:hint="eastAsia" w:ascii="黑体" w:hAnsi="黑体" w:eastAsia="黑体" w:cs="仿宋"/>
          <w:b w:val="0"/>
          <w:bCs w:val="0"/>
          <w:sz w:val="32"/>
          <w:szCs w:val="32"/>
          <w:lang w:eastAsia="zh-CN"/>
        </w:rPr>
        <w:t>第七</w:t>
      </w:r>
      <w:r>
        <w:rPr>
          <w:rFonts w:hint="eastAsia" w:ascii="黑体" w:hAnsi="黑体" w:eastAsia="黑体" w:cs="仿宋"/>
          <w:b w:val="0"/>
          <w:bCs w:val="0"/>
          <w:sz w:val="32"/>
          <w:szCs w:val="32"/>
        </w:rPr>
        <w:t>节</w:t>
      </w:r>
      <w:r>
        <w:rPr>
          <w:rFonts w:ascii="黑体" w:hAnsi="黑体" w:eastAsia="黑体" w:cs="仿宋"/>
          <w:b w:val="0"/>
          <w:bCs w:val="0"/>
          <w:sz w:val="32"/>
          <w:szCs w:val="32"/>
        </w:rPr>
        <w:t xml:space="preserve"> </w:t>
      </w:r>
      <w:r>
        <w:rPr>
          <w:rFonts w:hint="eastAsia" w:ascii="黑体" w:hAnsi="黑体" w:eastAsia="黑体" w:cs="仿宋"/>
          <w:b w:val="0"/>
          <w:bCs w:val="0"/>
          <w:sz w:val="32"/>
          <w:szCs w:val="32"/>
        </w:rPr>
        <w:t>推动青年成长发展</w:t>
      </w:r>
      <w:bookmarkEnd w:id="64"/>
      <w:bookmarkEnd w:id="65"/>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楷体" w:eastAsia="仿宋_GB2312" w:cs="仿宋"/>
          <w:b w:val="0"/>
          <w:bCs w:val="0"/>
        </w:rPr>
      </w:pPr>
      <w:r>
        <w:rPr>
          <w:rFonts w:hint="eastAsia" w:ascii="仿宋_GB2312" w:hAnsi="楷体" w:eastAsia="仿宋_GB2312" w:cs="仿宋"/>
          <w:b w:val="0"/>
          <w:bCs w:val="0"/>
        </w:rPr>
        <w:t>落实党管青年原则，完善青年发展政策体系和工作机制，优化青年成长环境，引导更多青年在呼兰创业置业就业，促进青年发展事业与经济社会同步发展。落实中长期青年发展规划，坚持以青年为本，尊重青年主体地位，着力提升青年思想政治素质和全面发展水平，充分发挥青年在全面建设社会主义现代化和呼兰经济社会振兴发展新征程中的生力军和突击队作用。</w:t>
      </w:r>
    </w:p>
    <w:tbl>
      <w:tblPr>
        <w:tblStyle w:val="6"/>
        <w:tblW w:w="85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67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jc w:val="center"/>
              <w:rPr>
                <w:rFonts w:ascii="仿宋_GB2312" w:hAnsi="宋体" w:eastAsia="仿宋_GB2312"/>
                <w:b w:val="0"/>
                <w:bCs w:val="0"/>
                <w:sz w:val="24"/>
                <w:szCs w:val="24"/>
              </w:rPr>
            </w:pPr>
            <w:r>
              <w:rPr>
                <w:rFonts w:hint="eastAsia" w:ascii="仿宋_GB2312" w:hAnsi="宋体" w:eastAsia="仿宋_GB2312"/>
                <w:b w:val="0"/>
                <w:bCs w:val="0"/>
                <w:sz w:val="24"/>
                <w:szCs w:val="24"/>
              </w:rPr>
              <w:t>任务</w:t>
            </w:r>
            <w:r>
              <w:rPr>
                <w:rFonts w:ascii="仿宋_GB2312" w:hAnsi="宋体" w:eastAsia="仿宋_GB2312"/>
                <w:b w:val="0"/>
                <w:bCs w:val="0"/>
                <w:sz w:val="24"/>
                <w:szCs w:val="24"/>
              </w:rPr>
              <w:t xml:space="preserve">3 </w:t>
            </w:r>
            <w:r>
              <w:rPr>
                <w:rFonts w:hint="eastAsia" w:ascii="仿宋_GB2312" w:hAnsi="宋体" w:eastAsia="仿宋_GB2312"/>
                <w:b w:val="0"/>
                <w:bCs w:val="0"/>
                <w:sz w:val="24"/>
                <w:szCs w:val="24"/>
              </w:rPr>
              <w:t>青年成长发展重点工程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19" w:type="dxa"/>
            <w:noWrap w:val="0"/>
            <w:vAlign w:val="center"/>
          </w:tcPr>
          <w:p>
            <w:pPr>
              <w:jc w:val="center"/>
              <w:rPr>
                <w:rFonts w:ascii="仿宋_GB2312" w:hAnsi="宋体" w:eastAsia="仿宋_GB2312"/>
                <w:b w:val="0"/>
                <w:bCs w:val="0"/>
                <w:sz w:val="24"/>
                <w:szCs w:val="28"/>
              </w:rPr>
            </w:pPr>
            <w:r>
              <w:rPr>
                <w:rFonts w:hint="eastAsia" w:ascii="仿宋_GB2312" w:eastAsia="仿宋_GB2312"/>
                <w:b w:val="0"/>
                <w:bCs w:val="0"/>
                <w:sz w:val="24"/>
                <w:szCs w:val="28"/>
              </w:rPr>
              <w:t>类别</w:t>
            </w:r>
          </w:p>
        </w:tc>
        <w:tc>
          <w:tcPr>
            <w:tcW w:w="6703" w:type="dxa"/>
            <w:noWrap w:val="0"/>
            <w:vAlign w:val="center"/>
          </w:tcPr>
          <w:p>
            <w:pPr>
              <w:jc w:val="center"/>
              <w:rPr>
                <w:rFonts w:ascii="仿宋_GB2312" w:hAnsi="宋体" w:eastAsia="仿宋_GB2312"/>
                <w:b w:val="0"/>
                <w:bCs w:val="0"/>
                <w:sz w:val="24"/>
                <w:szCs w:val="28"/>
              </w:rPr>
            </w:pPr>
            <w:r>
              <w:rPr>
                <w:rFonts w:hint="eastAsia" w:ascii="仿宋_GB2312" w:eastAsia="仿宋_GB2312"/>
                <w:b w:val="0"/>
                <w:bCs w:val="0"/>
                <w:sz w:val="24"/>
                <w:szCs w:val="28"/>
              </w:rPr>
              <w:t>重点措施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19" w:type="dxa"/>
            <w:noWrap w:val="0"/>
            <w:vAlign w:val="center"/>
          </w:tcPr>
          <w:p>
            <w:pPr>
              <w:jc w:val="center"/>
              <w:rPr>
                <w:rFonts w:ascii="仿宋_GB2312" w:hAnsi="宋体" w:eastAsia="仿宋_GB2312"/>
                <w:b w:val="0"/>
                <w:bCs w:val="0"/>
                <w:sz w:val="24"/>
                <w:szCs w:val="28"/>
              </w:rPr>
            </w:pPr>
            <w:r>
              <w:rPr>
                <w:rFonts w:hint="eastAsia" w:ascii="仿宋_GB2312" w:eastAsia="仿宋_GB2312"/>
                <w:b w:val="0"/>
                <w:bCs w:val="0"/>
                <w:sz w:val="24"/>
                <w:szCs w:val="28"/>
              </w:rPr>
              <w:t>加强青年思想道德建设</w:t>
            </w:r>
          </w:p>
        </w:tc>
        <w:tc>
          <w:tcPr>
            <w:tcW w:w="6703" w:type="dxa"/>
            <w:noWrap w:val="0"/>
            <w:vAlign w:val="center"/>
          </w:tcPr>
          <w:p>
            <w:pPr>
              <w:rPr>
                <w:rFonts w:ascii="仿宋_GB2312" w:hAnsi="宋体" w:eastAsia="仿宋_GB2312"/>
                <w:b w:val="0"/>
                <w:bCs w:val="0"/>
                <w:sz w:val="24"/>
                <w:szCs w:val="28"/>
              </w:rPr>
            </w:pPr>
            <w:r>
              <w:rPr>
                <w:rFonts w:hint="eastAsia" w:ascii="仿宋_GB2312" w:eastAsia="仿宋_GB2312"/>
                <w:b w:val="0"/>
                <w:bCs w:val="0"/>
                <w:sz w:val="24"/>
                <w:szCs w:val="28"/>
              </w:rPr>
              <w:t>组织开展习近平新时代中国特色社会主义思想研修班。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19" w:type="dxa"/>
            <w:noWrap w:val="0"/>
            <w:vAlign w:val="center"/>
          </w:tcPr>
          <w:p>
            <w:pPr>
              <w:jc w:val="center"/>
              <w:rPr>
                <w:rFonts w:ascii="仿宋_GB2312" w:hAnsi="宋体" w:eastAsia="仿宋_GB2312"/>
                <w:b w:val="0"/>
                <w:bCs w:val="0"/>
                <w:sz w:val="24"/>
                <w:szCs w:val="28"/>
              </w:rPr>
            </w:pPr>
            <w:r>
              <w:rPr>
                <w:rFonts w:hint="eastAsia" w:ascii="仿宋_GB2312" w:eastAsia="仿宋_GB2312"/>
                <w:b w:val="0"/>
                <w:bCs w:val="0"/>
                <w:sz w:val="24"/>
                <w:szCs w:val="28"/>
              </w:rPr>
              <w:t>深化青年就业创业服务</w:t>
            </w:r>
          </w:p>
        </w:tc>
        <w:tc>
          <w:tcPr>
            <w:tcW w:w="6703" w:type="dxa"/>
            <w:noWrap w:val="0"/>
            <w:vAlign w:val="center"/>
          </w:tcPr>
          <w:p>
            <w:pPr>
              <w:rPr>
                <w:rFonts w:ascii="仿宋_GB2312" w:eastAsia="仿宋_GB2312"/>
                <w:b w:val="0"/>
                <w:bCs w:val="0"/>
                <w:sz w:val="24"/>
                <w:szCs w:val="28"/>
              </w:rPr>
            </w:pPr>
            <w:r>
              <w:rPr>
                <w:rFonts w:hint="eastAsia" w:ascii="仿宋_GB2312" w:eastAsia="仿宋_GB2312"/>
                <w:b w:val="0"/>
                <w:bCs w:val="0"/>
                <w:sz w:val="24"/>
                <w:szCs w:val="28"/>
              </w:rPr>
              <w:t>开展青年农民工职业技能培训计划。</w:t>
            </w:r>
          </w:p>
          <w:p>
            <w:pPr>
              <w:rPr>
                <w:rFonts w:ascii="仿宋_GB2312" w:eastAsia="仿宋_GB2312"/>
                <w:b w:val="0"/>
                <w:bCs w:val="0"/>
                <w:sz w:val="24"/>
                <w:szCs w:val="28"/>
              </w:rPr>
            </w:pPr>
            <w:r>
              <w:rPr>
                <w:rFonts w:hint="eastAsia" w:ascii="仿宋_GB2312" w:eastAsia="仿宋_GB2312"/>
                <w:b w:val="0"/>
                <w:bCs w:val="0"/>
                <w:sz w:val="24"/>
                <w:szCs w:val="28"/>
              </w:rPr>
              <w:t>实施农村青年创业致富带头人培养工程。</w:t>
            </w:r>
          </w:p>
          <w:p>
            <w:pPr>
              <w:rPr>
                <w:rFonts w:ascii="仿宋_GB2312" w:hAnsi="宋体" w:eastAsia="仿宋_GB2312"/>
                <w:b w:val="0"/>
                <w:bCs w:val="0"/>
                <w:sz w:val="24"/>
                <w:szCs w:val="28"/>
              </w:rPr>
            </w:pPr>
            <w:r>
              <w:rPr>
                <w:rFonts w:hint="eastAsia" w:ascii="仿宋_GB2312" w:eastAsia="仿宋_GB2312"/>
                <w:b w:val="0"/>
                <w:bCs w:val="0"/>
                <w:sz w:val="24"/>
                <w:szCs w:val="28"/>
              </w:rPr>
              <w:t>实施青年电商培育工程。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19" w:type="dxa"/>
            <w:noWrap w:val="0"/>
            <w:vAlign w:val="center"/>
          </w:tcPr>
          <w:p>
            <w:pPr>
              <w:jc w:val="center"/>
              <w:rPr>
                <w:rFonts w:ascii="仿宋_GB2312" w:hAnsi="宋体" w:eastAsia="仿宋_GB2312"/>
                <w:b w:val="0"/>
                <w:bCs w:val="0"/>
                <w:sz w:val="24"/>
                <w:szCs w:val="28"/>
              </w:rPr>
            </w:pPr>
            <w:r>
              <w:rPr>
                <w:rFonts w:hint="eastAsia" w:ascii="仿宋_GB2312" w:eastAsia="仿宋_GB2312"/>
                <w:b w:val="0"/>
                <w:bCs w:val="0"/>
                <w:sz w:val="24"/>
                <w:szCs w:val="28"/>
              </w:rPr>
              <w:t>切实维护青年合法权益</w:t>
            </w:r>
          </w:p>
        </w:tc>
        <w:tc>
          <w:tcPr>
            <w:tcW w:w="6703" w:type="dxa"/>
            <w:noWrap w:val="0"/>
            <w:vAlign w:val="center"/>
          </w:tcPr>
          <w:p>
            <w:pPr>
              <w:rPr>
                <w:rFonts w:ascii="仿宋_GB2312" w:eastAsia="仿宋_GB2312"/>
                <w:b w:val="0"/>
                <w:bCs w:val="0"/>
                <w:sz w:val="24"/>
                <w:szCs w:val="28"/>
              </w:rPr>
            </w:pPr>
            <w:r>
              <w:rPr>
                <w:rFonts w:hint="eastAsia" w:ascii="仿宋_GB2312" w:eastAsia="仿宋_GB2312"/>
                <w:b w:val="0"/>
                <w:bCs w:val="0"/>
                <w:sz w:val="24"/>
                <w:szCs w:val="28"/>
              </w:rPr>
              <w:t>实施青少年权益保护工程。</w:t>
            </w:r>
          </w:p>
          <w:p>
            <w:pPr>
              <w:rPr>
                <w:rFonts w:ascii="仿宋_GB2312" w:hAnsi="宋体" w:eastAsia="仿宋_GB2312"/>
                <w:b w:val="0"/>
                <w:bCs w:val="0"/>
                <w:sz w:val="24"/>
                <w:szCs w:val="28"/>
              </w:rPr>
            </w:pPr>
            <w:r>
              <w:rPr>
                <w:rFonts w:hint="eastAsia" w:ascii="仿宋_GB2312" w:eastAsia="仿宋_GB2312"/>
                <w:b w:val="0"/>
                <w:bCs w:val="0"/>
                <w:sz w:val="24"/>
                <w:szCs w:val="28"/>
              </w:rPr>
              <w:t>深入推进“护校安园”行动。</w:t>
            </w:r>
          </w:p>
        </w:tc>
      </w:tr>
    </w:tbl>
    <w:p>
      <w:pPr>
        <w:rPr>
          <w:rFonts w:hint="eastAsia"/>
          <w:b w:val="0"/>
          <w:bCs w:val="0"/>
        </w:rPr>
      </w:pP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66" w:name="_Toc14093"/>
      <w:r>
        <w:rPr>
          <w:rFonts w:hint="eastAsia" w:ascii="黑体" w:hAnsi="黑体" w:eastAsia="黑体" w:cs="仿宋"/>
          <w:b w:val="0"/>
          <w:bCs w:val="0"/>
          <w:sz w:val="32"/>
          <w:szCs w:val="32"/>
        </w:rPr>
        <w:t>第八节</w:t>
      </w:r>
      <w:r>
        <w:rPr>
          <w:rFonts w:ascii="黑体" w:hAnsi="黑体" w:eastAsia="黑体" w:cs="仿宋"/>
          <w:b w:val="0"/>
          <w:bCs w:val="0"/>
          <w:sz w:val="32"/>
          <w:szCs w:val="32"/>
        </w:rPr>
        <w:t xml:space="preserve"> 加强妇女儿童保障</w:t>
      </w:r>
      <w:bookmarkEnd w:id="66"/>
    </w:p>
    <w:p>
      <w:pPr>
        <w:pStyle w:val="9"/>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ascii="仿宋" w:hAnsi="仿宋" w:eastAsia="仿宋" w:cs="仿宋"/>
          <w:b w:val="0"/>
          <w:bCs w:val="0"/>
        </w:rPr>
      </w:pPr>
      <w:r>
        <w:rPr>
          <w:rFonts w:hint="eastAsia" w:ascii="仿宋" w:hAnsi="仿宋" w:eastAsia="仿宋" w:cs="仿宋"/>
          <w:b w:val="0"/>
          <w:bCs w:val="0"/>
        </w:rPr>
        <w:t>实施妇女儿童发展规划，保障妇女儿童合法权益。</w:t>
      </w:r>
    </w:p>
    <w:p>
      <w:pPr>
        <w:pStyle w:val="9"/>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ascii="仿宋_GB2312" w:hAnsi="仿宋" w:eastAsia="仿宋_GB2312" w:cs="仿宋"/>
          <w:b w:val="0"/>
          <w:bCs w:val="0"/>
        </w:rPr>
      </w:pPr>
      <w:r>
        <w:rPr>
          <w:rFonts w:hint="eastAsia" w:ascii="楷体" w:hAnsi="楷体" w:eastAsia="楷体" w:cs="仿宋"/>
          <w:b w:val="0"/>
          <w:bCs w:val="0"/>
        </w:rPr>
        <w:t>促进妇女全面发展。</w:t>
      </w:r>
      <w:r>
        <w:rPr>
          <w:rFonts w:hint="eastAsia" w:ascii="仿宋_GB2312" w:hAnsi="仿宋" w:eastAsia="仿宋_GB2312" w:cs="仿宋"/>
          <w:b w:val="0"/>
          <w:bCs w:val="0"/>
        </w:rPr>
        <w:t>全面贯彻落实男女平等基本国策，坚持和完善促进男女平等、妇女全面发展的制度机制。拓宽妇女就业渠道</w:t>
      </w:r>
      <w:r>
        <w:rPr>
          <w:rFonts w:ascii="仿宋_GB2312" w:hAnsi="仿宋" w:eastAsia="仿宋_GB2312" w:cs="仿宋"/>
          <w:b w:val="0"/>
          <w:bCs w:val="0"/>
        </w:rPr>
        <w:t>,消除就业性别歧视。降低出生人口性别比，促进人口均衡发展。建立妇女全生命周期健康的管理、服务和保障体系。保障农村妇女土地权益。加强特殊困难妇女群体民生保障。</w:t>
      </w:r>
    </w:p>
    <w:p>
      <w:pPr>
        <w:pStyle w:val="9"/>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ascii="仿宋_GB2312" w:hAnsi="仿宋" w:eastAsia="仿宋_GB2312" w:cs="仿宋"/>
          <w:b w:val="0"/>
          <w:bCs w:val="0"/>
        </w:rPr>
      </w:pPr>
      <w:r>
        <w:rPr>
          <w:rFonts w:hint="eastAsia" w:ascii="楷体" w:hAnsi="楷体" w:eastAsia="楷体" w:cs="仿宋"/>
          <w:b w:val="0"/>
          <w:bCs w:val="0"/>
        </w:rPr>
        <w:t>保障儿童优先发展。</w:t>
      </w:r>
      <w:r>
        <w:rPr>
          <w:rFonts w:hint="eastAsia" w:ascii="仿宋_GB2312" w:hAnsi="仿宋" w:eastAsia="仿宋_GB2312" w:cs="仿宋"/>
          <w:b w:val="0"/>
          <w:bCs w:val="0"/>
        </w:rPr>
        <w:t>全面贯彻落实儿童优先原则，建立和完善促进儿童优先发展和全面发展的制度体系，保障资源配置对儿童基本需求的高度优先。完善儿童监护制度，健全基层儿童保护机制，加强留守儿童关爱服务，落实困境儿童保障制度。严厉打击危害儿童身心健</w:t>
      </w:r>
      <w:r>
        <w:rPr>
          <w:rFonts w:ascii="仿宋_GB2312" w:hAnsi="仿宋" w:eastAsia="仿宋_GB2312" w:cs="仿宋"/>
          <w:b w:val="0"/>
          <w:bCs w:val="0"/>
        </w:rPr>
        <w:t>康的违法犯罪行为。预防未成年人违法犯罪。</w:t>
      </w:r>
    </w:p>
    <w:p>
      <w:pPr>
        <w:pStyle w:val="9"/>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eastAsia" w:ascii="仿宋_GB2312" w:hAnsi="仿宋" w:eastAsia="黑体" w:cs="仿宋"/>
          <w:b w:val="0"/>
          <w:bCs w:val="0"/>
        </w:rPr>
      </w:pPr>
      <w:r>
        <w:rPr>
          <w:rFonts w:hint="eastAsia" w:ascii="楷体" w:hAnsi="楷体" w:eastAsia="楷体" w:cs="仿宋"/>
          <w:b w:val="0"/>
          <w:bCs w:val="0"/>
        </w:rPr>
        <w:t>支持家庭发展。</w:t>
      </w:r>
      <w:r>
        <w:rPr>
          <w:rFonts w:hint="eastAsia" w:ascii="仿宋_GB2312" w:hAnsi="仿宋" w:eastAsia="仿宋_GB2312" w:cs="仿宋"/>
          <w:b w:val="0"/>
          <w:bCs w:val="0"/>
        </w:rPr>
        <w:t>加强对困难家庭、失独家庭、单亲特困等特殊家庭的政策支持、救助和服务。充分发挥家庭家教家风在基层社会治理中的重要作用，建设平等、和睦、文明的婚姻家庭关系，完善婚姻家庭纠纷预防化解机制，预防和制止家庭暴力。建立完善覆盖城乡的家庭教育指导服务体系。促进发展家庭服务，构建普惠托育服务体系，加强“</w:t>
      </w:r>
      <w:r>
        <w:rPr>
          <w:rFonts w:ascii="仿宋_GB2312" w:hAnsi="仿宋" w:eastAsia="仿宋_GB2312" w:cs="仿宋"/>
          <w:b w:val="0"/>
          <w:bCs w:val="0"/>
        </w:rPr>
        <w:t>0-3岁托育机构建设”和“城乡社区儿童之家建设”。健全基本养老服务体系，</w:t>
      </w:r>
      <w:r>
        <w:rPr>
          <w:rFonts w:hint="eastAsia" w:ascii="仿宋_GB2312" w:hAnsi="仿宋" w:eastAsia="仿宋_GB2312" w:cs="仿宋"/>
          <w:b w:val="0"/>
          <w:bCs w:val="0"/>
        </w:rPr>
        <w:t>提升</w:t>
      </w:r>
      <w:r>
        <w:rPr>
          <w:rFonts w:ascii="仿宋_GB2312" w:hAnsi="仿宋" w:eastAsia="仿宋_GB2312" w:cs="仿宋"/>
          <w:b w:val="0"/>
          <w:bCs w:val="0"/>
        </w:rPr>
        <w:t>社区养老服务水平，加快发展家政服务业。</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hint="eastAsia" w:ascii="黑体" w:hAnsi="黑体" w:eastAsia="黑体" w:cs="仿宋"/>
          <w:b w:val="0"/>
          <w:bCs w:val="0"/>
          <w:sz w:val="32"/>
          <w:szCs w:val="32"/>
        </w:rPr>
      </w:pPr>
      <w:bookmarkStart w:id="67" w:name="_Toc27014"/>
      <w:r>
        <w:rPr>
          <w:rFonts w:hint="eastAsia" w:ascii="黑体" w:hAnsi="黑体" w:eastAsia="黑体" w:cs="仿宋"/>
          <w:b w:val="0"/>
          <w:bCs w:val="0"/>
          <w:sz w:val="32"/>
          <w:szCs w:val="32"/>
        </w:rPr>
        <w:t>第十一章 持续深化改革</w:t>
      </w:r>
      <w:r>
        <w:rPr>
          <w:rFonts w:hint="eastAsia" w:ascii="黑体" w:hAnsi="黑体" w:eastAsia="黑体" w:cs="仿宋"/>
          <w:b w:val="0"/>
          <w:bCs w:val="0"/>
          <w:sz w:val="32"/>
          <w:szCs w:val="32"/>
          <w:lang w:val="en-US" w:eastAsia="zh-CN"/>
        </w:rPr>
        <w:t xml:space="preserve">  </w:t>
      </w:r>
      <w:r>
        <w:rPr>
          <w:rFonts w:hint="eastAsia" w:ascii="黑体" w:hAnsi="黑体" w:eastAsia="黑体" w:cs="仿宋"/>
          <w:b w:val="0"/>
          <w:bCs w:val="0"/>
          <w:sz w:val="32"/>
          <w:szCs w:val="32"/>
        </w:rPr>
        <w:t>促进经济社会高质量发展</w:t>
      </w:r>
      <w:bookmarkEnd w:id="67"/>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eastAsia="仿宋_GB2312"/>
          <w:b w:val="0"/>
          <w:bCs w:val="0"/>
          <w:sz w:val="32"/>
          <w:szCs w:val="32"/>
        </w:rPr>
      </w:pPr>
      <w:r>
        <w:rPr>
          <w:rFonts w:hint="eastAsia" w:ascii="仿宋_GB2312" w:eastAsia="仿宋_GB2312"/>
          <w:b w:val="0"/>
          <w:bCs w:val="0"/>
          <w:sz w:val="32"/>
          <w:szCs w:val="32"/>
        </w:rPr>
        <w:t>把握改革方向，持续深化改革，真正用改革的办法来解决呼兰前进中的问题。</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68" w:name="_Toc16125"/>
      <w:bookmarkStart w:id="69" w:name="_Toc18786"/>
      <w:r>
        <w:rPr>
          <w:rFonts w:hint="eastAsia" w:ascii="黑体" w:hAnsi="黑体" w:eastAsia="黑体" w:cs="仿宋"/>
          <w:b w:val="0"/>
          <w:bCs w:val="0"/>
          <w:sz w:val="32"/>
          <w:szCs w:val="32"/>
        </w:rPr>
        <w:t>第一节 进一步优化营商环境</w:t>
      </w:r>
      <w:bookmarkEnd w:id="68"/>
      <w:bookmarkEnd w:id="69"/>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eastAsia="仿宋_GB2312"/>
          <w:b w:val="0"/>
          <w:bCs w:val="0"/>
          <w:sz w:val="32"/>
          <w:szCs w:val="32"/>
        </w:rPr>
      </w:pPr>
      <w:r>
        <w:rPr>
          <w:rFonts w:hint="eastAsia" w:ascii="楷体" w:hAnsi="楷体" w:eastAsia="楷体" w:cs="仿宋"/>
          <w:b w:val="0"/>
          <w:bCs w:val="0"/>
          <w:sz w:val="32"/>
          <w:szCs w:val="32"/>
        </w:rPr>
        <w:t>继续深化“放管服”改革。</w:t>
      </w:r>
      <w:r>
        <w:rPr>
          <w:rFonts w:hint="eastAsia" w:ascii="仿宋_GB2312" w:eastAsia="仿宋_GB2312"/>
          <w:b w:val="0"/>
          <w:bCs w:val="0"/>
          <w:sz w:val="32"/>
          <w:szCs w:val="32"/>
        </w:rPr>
        <w:t>通过简政放权进一步增加基层干事创业创新动力，激发市场活动。要在优化服务上下功能，将商事制度改革、“证照分离”改革落实到位，参照全国最优城市进一步改革审批方式，精简涉企证照，推动事中事后综合监管全面常态化。创新审批模式，实行绿色通道制度，实现落实落地，推行“容缺办理”，让企业少跑腿、好办事、不添堵。深化“互联网+政务服务”“互联网+监管”“互联网+综窗服务”专业化改革和商事制度改革。推进高频政务服务事项“一网通办”“掌上办”“一件事一次办”，巩固“办事不求人”成果。全力推进诚信守约的人文环境建设。强化诚信体系建设，深入开展政府失信违诺专项治理，落实行政许可和行政处罚等信用信息公示制度。</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eastAsia="仿宋_GB2312"/>
          <w:b w:val="0"/>
          <w:bCs w:val="0"/>
          <w:sz w:val="32"/>
          <w:szCs w:val="32"/>
        </w:rPr>
      </w:pPr>
      <w:r>
        <w:rPr>
          <w:rFonts w:hint="eastAsia" w:ascii="楷体" w:hAnsi="楷体" w:eastAsia="楷体" w:cs="仿宋"/>
          <w:b w:val="0"/>
          <w:bCs w:val="0"/>
          <w:sz w:val="32"/>
          <w:szCs w:val="32"/>
        </w:rPr>
        <w:t>深入落实公平、公正、公开原则。</w:t>
      </w:r>
      <w:r>
        <w:rPr>
          <w:rFonts w:hint="eastAsia" w:ascii="仿宋_GB2312" w:eastAsia="仿宋_GB2312"/>
          <w:b w:val="0"/>
          <w:bCs w:val="0"/>
          <w:sz w:val="32"/>
          <w:szCs w:val="32"/>
        </w:rPr>
        <w:t>落实负面清单信息公开机制，简化行政审批流程，加快民营企业落地效率。全面优化营商环境，从投资热度、法治力度、人才满意度、创新活跃度和国际水平高度五个维度打造国际一流营商环境。构建营商环境评价体系，充分运用营商环境评价结果，以评促建、以评促改，积极打造“投资热土”。强化信用体系建设，健全以“双随机、一公开”监管为基本手段、以重点监管为补充、以信用监管为基础的新型监管机制。强化诚信政府建设，探索以承诺制为核心的极简审批，加速全审批开放透明“可视化”。</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eastAsia="仿宋_GB2312"/>
          <w:b w:val="0"/>
          <w:bCs w:val="0"/>
          <w:sz w:val="32"/>
          <w:szCs w:val="32"/>
        </w:rPr>
      </w:pPr>
      <w:r>
        <w:rPr>
          <w:rFonts w:hint="eastAsia" w:ascii="楷体" w:hAnsi="楷体" w:eastAsia="楷体" w:cs="仿宋"/>
          <w:b w:val="0"/>
          <w:bCs w:val="0"/>
          <w:sz w:val="32"/>
          <w:szCs w:val="32"/>
        </w:rPr>
        <w:t>激发市场主体活力。</w:t>
      </w:r>
      <w:r>
        <w:rPr>
          <w:rFonts w:hint="eastAsia" w:ascii="仿宋_GB2312" w:eastAsia="仿宋_GB2312"/>
          <w:b w:val="0"/>
          <w:bCs w:val="0"/>
          <w:sz w:val="32"/>
          <w:szCs w:val="32"/>
        </w:rPr>
        <w:t>严格落实外商投资准入前国民待遇加负面清单管理制度，保持新增市场主体和规模以上工业企业稳健增长。切实降低企业生产经营成本。推动“政银企保”合作，改善融资结构。加快完善民营经济扶持政策，鼓励、支持、引导非公有制经济发展，全面精准落实减税降费、减租降息、降低要素成本等纾困惠企政策。实施民营企业梯度成长培育计划，加速推进中小企业发展壮大，力争呼兰民营经济占比超过全省平均水平，成为全区新时代构建新发展格局、建设现代化经济体系、推动高质量发展的生力军。充分激发各类市场主体活力，大力弘扬优秀企业家精神，营造激励企业家创新创业的社会氛围。深化国有资本投资、运营公司改革，促进国有资产保值增值，努力服务全区经济社会发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eastAsia="仿宋_GB2312"/>
          <w:b w:val="0"/>
          <w:bCs w:val="0"/>
          <w:sz w:val="32"/>
          <w:szCs w:val="32"/>
        </w:rPr>
      </w:pPr>
      <w:r>
        <w:rPr>
          <w:rFonts w:hint="eastAsia" w:ascii="楷体" w:hAnsi="楷体" w:eastAsia="楷体" w:cs="仿宋"/>
          <w:b w:val="0"/>
          <w:bCs w:val="0"/>
          <w:sz w:val="32"/>
          <w:szCs w:val="32"/>
        </w:rPr>
        <w:t>提升创新能力。</w:t>
      </w:r>
      <w:r>
        <w:rPr>
          <w:rFonts w:hint="eastAsia" w:ascii="仿宋_GB2312" w:eastAsia="仿宋_GB2312"/>
          <w:b w:val="0"/>
          <w:bCs w:val="0"/>
          <w:sz w:val="32"/>
          <w:szCs w:val="32"/>
        </w:rPr>
        <w:t>增强政府在住房、创业、资金等方面政策扶持力度，引导龙头企业与科研院所合作，设立博士后科研工作站，加大对创新人才的吸纳，释放人才创新创业创造活力。围绕全区工业发展重点领域，建立以企业为主体，市场为导向，产学研相结合的技术创新体系，完善企业为主体的产业技术创新机制。搭建区校合作平台，孵化一批高新技术企业。培育带动能力强的新型主体，通过新增合作示范社、新型家庭农场、高标准科技示范园区等打造创新示范平台。加强政府引导与政策支持，打造“三化三型”创业型城市政务服务环境、“四链合一”加优质高效创业型城市政务服务环境的“4+1”发展生态。建立统一规范灵活的公共就业服务机构，搭建人力资源供需平台。</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b w:val="0"/>
          <w:bCs w:val="0"/>
        </w:rPr>
      </w:pPr>
      <w:r>
        <w:rPr>
          <w:rFonts w:hint="eastAsia" w:ascii="楷体" w:hAnsi="楷体" w:eastAsia="楷体" w:cs="仿宋"/>
          <w:b w:val="0"/>
          <w:bCs w:val="0"/>
          <w:sz w:val="32"/>
          <w:szCs w:val="32"/>
        </w:rPr>
        <w:t>加强数字赋能实体经济。</w:t>
      </w:r>
      <w:r>
        <w:rPr>
          <w:rFonts w:hint="eastAsia" w:ascii="仿宋_GB2312" w:eastAsia="仿宋_GB2312"/>
          <w:b w:val="0"/>
          <w:bCs w:val="0"/>
          <w:sz w:val="32"/>
          <w:szCs w:val="32"/>
        </w:rPr>
        <w:t>依托数字经济发展新产业、新业态和新模式，大力发展平台经济、共享经济、未来经济，推进产业链上下游数据互联互通，加快工业数据的高效流通，提升产业链协同效率，为实体经济发展提质增效。培育数据要素市场，探索建立数据要素定价机制，构建市场化公共数据资源管理服务体系，打造“聚合型”和“智慧型”金融服务平台。扩大基础公共信息数据有序开放，建设政府数据统一共享开放平台，建立健全数据分类分级安全保护制度。大力发展电子商务和具有本土特色的直播电商产业，推动数字技术与物流产业融合发展。</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70" w:name="_Toc32742"/>
      <w:r>
        <w:rPr>
          <w:rFonts w:hint="eastAsia" w:ascii="黑体" w:hAnsi="黑体" w:eastAsia="黑体" w:cs="仿宋"/>
          <w:b w:val="0"/>
          <w:bCs w:val="0"/>
          <w:sz w:val="32"/>
          <w:szCs w:val="32"/>
        </w:rPr>
        <w:t>第二节 持续加强对外开放合作</w:t>
      </w:r>
      <w:bookmarkEnd w:id="70"/>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eastAsia="仿宋_GB2312"/>
          <w:b w:val="0"/>
          <w:bCs w:val="0"/>
          <w:sz w:val="32"/>
          <w:szCs w:val="32"/>
        </w:rPr>
      </w:pPr>
      <w:r>
        <w:rPr>
          <w:rFonts w:hint="eastAsia" w:ascii="楷体" w:hAnsi="楷体" w:eastAsia="楷体" w:cs="仿宋"/>
          <w:b w:val="0"/>
          <w:bCs w:val="0"/>
          <w:sz w:val="32"/>
          <w:szCs w:val="32"/>
        </w:rPr>
        <w:t>全面融入高质量“一带一路”建设。</w:t>
      </w:r>
      <w:r>
        <w:rPr>
          <w:rFonts w:hint="eastAsia" w:ascii="仿宋_GB2312" w:eastAsia="仿宋_GB2312"/>
          <w:b w:val="0"/>
          <w:bCs w:val="0"/>
          <w:sz w:val="32"/>
          <w:szCs w:val="32"/>
        </w:rPr>
        <w:t>强化呼兰区参与“一带一路”“中蒙俄经济走廊”建设的顶层设计。依托哈尔滨呼兰港，通过江海联运与俄罗斯远东港口相通，对接国际陆海联运大通道。利用哈尔滨开通到达边境口岸国际公路物流运输新路线机遇，开辟对俄电商小包陆运通道。依托邻近哈尔滨航空港的区位优势，在哈尔滨对俄、日、韩的航空货运网络中形成相对优势，提高与国内经济发达地区的交通联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eastAsia="仿宋_GB2312"/>
          <w:b w:val="0"/>
          <w:bCs w:val="0"/>
          <w:sz w:val="32"/>
          <w:szCs w:val="32"/>
        </w:rPr>
      </w:pPr>
      <w:r>
        <w:rPr>
          <w:rFonts w:hint="eastAsia" w:ascii="楷体" w:hAnsi="楷体" w:eastAsia="楷体" w:cs="仿宋"/>
          <w:b w:val="0"/>
          <w:bCs w:val="0"/>
          <w:sz w:val="32"/>
          <w:szCs w:val="32"/>
        </w:rPr>
        <w:t>深化对俄多领域合作。</w:t>
      </w:r>
      <w:r>
        <w:rPr>
          <w:rFonts w:hint="eastAsia" w:ascii="仿宋_GB2312" w:eastAsia="仿宋_GB2312"/>
          <w:b w:val="0"/>
          <w:bCs w:val="0"/>
          <w:sz w:val="32"/>
          <w:szCs w:val="32"/>
        </w:rPr>
        <w:t>推动对俄企业间的精准对接，建立项目合作清单，开展务实合作。利用好呼兰文体优势，通过组织参加远东城市冰球联赛等文体活动加强对俄人文交流。依托“黑龙江对俄国际技术转移中心”等国家级科技合作平台等，积极争取承接国家、省级层面在食品加工、跨境旅游、跨境物流、文化体育等相关领域合作项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eastAsia="仿宋_GB2312"/>
          <w:b w:val="0"/>
          <w:bCs w:val="0"/>
          <w:sz w:val="32"/>
          <w:szCs w:val="32"/>
        </w:rPr>
      </w:pPr>
      <w:r>
        <w:rPr>
          <w:rFonts w:hint="eastAsia" w:ascii="楷体" w:hAnsi="楷体" w:eastAsia="楷体" w:cs="仿宋"/>
          <w:b w:val="0"/>
          <w:bCs w:val="0"/>
          <w:sz w:val="32"/>
          <w:szCs w:val="32"/>
        </w:rPr>
        <w:t>持续加强对外开放区域合作。</w:t>
      </w:r>
      <w:r>
        <w:rPr>
          <w:rFonts w:hint="eastAsia" w:ascii="仿宋_GB2312" w:eastAsia="仿宋_GB2312"/>
          <w:b w:val="0"/>
          <w:bCs w:val="0"/>
          <w:sz w:val="32"/>
          <w:szCs w:val="32"/>
        </w:rPr>
        <w:t>深入对接京津冀地区、粤港澳大湾区、长江经济带、哈长城市群等重大区域发展战略，积极融入国内国际双循环发展新格局。利用深哈合作契机，加强与沿海发达地区合作。推进多方面产业合作，加深与新兴产业龙头企业合作的区域经济带动作用。依托临近自贸区优势，构建以对俄和东北亚为重点的全方位对外开放。依托哈尔滨新区发展机遇，充分利用经开区土地、商务等成本落差，积极发展“飞地经济”，打造哈尔滨新区产业外溢的最佳“飞入地”。</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eastAsia="仿宋_GB2312"/>
          <w:b w:val="0"/>
          <w:bCs w:val="0"/>
          <w:sz w:val="32"/>
          <w:szCs w:val="32"/>
        </w:rPr>
      </w:pPr>
      <w:r>
        <w:rPr>
          <w:rFonts w:hint="eastAsia" w:ascii="楷体" w:hAnsi="楷体" w:eastAsia="楷体" w:cs="仿宋"/>
          <w:b w:val="0"/>
          <w:bCs w:val="0"/>
          <w:sz w:val="32"/>
          <w:szCs w:val="32"/>
        </w:rPr>
        <w:t>强化与周边县市合作。</w:t>
      </w:r>
      <w:r>
        <w:rPr>
          <w:rFonts w:hint="eastAsia" w:ascii="仿宋_GB2312" w:eastAsia="仿宋_GB2312"/>
          <w:b w:val="0"/>
          <w:bCs w:val="0"/>
          <w:sz w:val="32"/>
          <w:szCs w:val="32"/>
        </w:rPr>
        <w:t>加强与巴彦、海伦、拜泉等周边县（市）在现代农业上的差异化发展和合作，创新产销对接机制，积极抓好省内、省外、境外市场，共同利用产销对接、推介展示、营销推广和线上线下平台多渠道带动绿色优质农产品发展。</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71" w:name="_Toc56155417"/>
      <w:bookmarkStart w:id="72" w:name="_Toc8566"/>
      <w:r>
        <w:rPr>
          <w:rFonts w:hint="eastAsia" w:ascii="黑体" w:hAnsi="黑体" w:eastAsia="黑体" w:cs="仿宋"/>
          <w:b w:val="0"/>
          <w:bCs w:val="0"/>
          <w:sz w:val="32"/>
          <w:szCs w:val="32"/>
        </w:rPr>
        <w:t xml:space="preserve">第三节 </w:t>
      </w:r>
      <w:bookmarkEnd w:id="71"/>
      <w:r>
        <w:rPr>
          <w:rFonts w:hint="eastAsia" w:ascii="黑体" w:hAnsi="黑体" w:eastAsia="黑体" w:cs="仿宋"/>
          <w:b w:val="0"/>
          <w:bCs w:val="0"/>
          <w:sz w:val="32"/>
          <w:szCs w:val="32"/>
        </w:rPr>
        <w:t>创新招商方式实现精准招商</w:t>
      </w:r>
      <w:bookmarkEnd w:id="72"/>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Times New Roman" w:eastAsia="仿宋_GB2312"/>
          <w:b w:val="0"/>
          <w:bCs w:val="0"/>
          <w:sz w:val="32"/>
          <w:szCs w:val="32"/>
        </w:rPr>
      </w:pPr>
      <w:r>
        <w:rPr>
          <w:rFonts w:hint="eastAsia" w:ascii="楷体" w:hAnsi="楷体" w:eastAsia="楷体" w:cs="仿宋"/>
          <w:b w:val="0"/>
          <w:bCs w:val="0"/>
          <w:sz w:val="32"/>
          <w:szCs w:val="32"/>
        </w:rPr>
        <w:t>突出招商引资重点。</w:t>
      </w:r>
      <w:r>
        <w:rPr>
          <w:rFonts w:hint="eastAsia" w:ascii="仿宋_GB2312" w:hAnsi="Times New Roman" w:eastAsia="仿宋_GB2312"/>
          <w:b w:val="0"/>
          <w:bCs w:val="0"/>
          <w:sz w:val="32"/>
          <w:szCs w:val="32"/>
        </w:rPr>
        <w:t>立足资源优势，充分挖掘潜力，精准赋能招商引资工作。按照“突出绿色、精深加工、打造品牌、提高效益”的发展思路，实施食品加工大型龙头企业定向招商策略，加快实现由原料初加工向精深制造的转型升级。依托老城历史文化和沿江特色景观资源，抓住与北控集团、</w:t>
      </w:r>
      <w:r>
        <w:rPr>
          <w:rFonts w:ascii="仿宋_GB2312" w:hAnsi="Times New Roman" w:eastAsia="仿宋_GB2312"/>
          <w:b w:val="0"/>
          <w:bCs w:val="0"/>
          <w:sz w:val="32"/>
          <w:szCs w:val="32"/>
        </w:rPr>
        <w:t>恒</w:t>
      </w:r>
      <w:r>
        <w:rPr>
          <w:rFonts w:hint="eastAsia" w:ascii="仿宋_GB2312" w:hAnsi="Times New Roman" w:eastAsia="仿宋_GB2312"/>
          <w:b w:val="0"/>
          <w:bCs w:val="0"/>
          <w:sz w:val="32"/>
          <w:szCs w:val="32"/>
        </w:rPr>
        <w:t>大</w:t>
      </w:r>
      <w:r>
        <w:rPr>
          <w:rFonts w:ascii="仿宋_GB2312" w:hAnsi="Times New Roman" w:eastAsia="仿宋_GB2312"/>
          <w:b w:val="0"/>
          <w:bCs w:val="0"/>
          <w:sz w:val="32"/>
          <w:szCs w:val="32"/>
        </w:rPr>
        <w:t>集团</w:t>
      </w:r>
      <w:r>
        <w:rPr>
          <w:rFonts w:hint="eastAsia" w:ascii="仿宋_GB2312" w:hAnsi="Times New Roman" w:eastAsia="仿宋_GB2312"/>
          <w:b w:val="0"/>
          <w:bCs w:val="0"/>
          <w:sz w:val="32"/>
          <w:szCs w:val="32"/>
        </w:rPr>
        <w:t>开展战略合作的有利契机，推进康养、旅游、体育等经济新</w:t>
      </w:r>
      <w:r>
        <w:rPr>
          <w:rFonts w:ascii="仿宋_GB2312" w:hAnsi="Times New Roman" w:eastAsia="仿宋_GB2312"/>
          <w:b w:val="0"/>
          <w:bCs w:val="0"/>
          <w:sz w:val="32"/>
          <w:szCs w:val="32"/>
        </w:rPr>
        <w:t>业态快速落地</w:t>
      </w:r>
      <w:r>
        <w:rPr>
          <w:rFonts w:hint="eastAsia" w:ascii="仿宋_GB2312" w:hAnsi="Times New Roman" w:eastAsia="仿宋_GB2312"/>
          <w:b w:val="0"/>
          <w:bCs w:val="0"/>
          <w:sz w:val="32"/>
          <w:szCs w:val="32"/>
        </w:rPr>
        <w:t>，形成沿江旅游产业集群。充分利用与深圳烯旺集团在石墨烯产业方面开展合作的有利契机，采取定向招商模式，实现供给、转移扩散和首次商业化，推进创新链、产业链和投资链的深度融合。按照经开区、长岭</w:t>
      </w:r>
      <w:r>
        <w:rPr>
          <w:rFonts w:ascii="仿宋_GB2312" w:hAnsi="Times New Roman" w:eastAsia="仿宋_GB2312"/>
          <w:b w:val="0"/>
          <w:bCs w:val="0"/>
          <w:sz w:val="32"/>
          <w:szCs w:val="32"/>
        </w:rPr>
        <w:t>工业园产业发展定位</w:t>
      </w:r>
      <w:r>
        <w:rPr>
          <w:rFonts w:hint="eastAsia" w:ascii="仿宋_GB2312" w:hAnsi="Times New Roman" w:eastAsia="仿宋_GB2312"/>
          <w:b w:val="0"/>
          <w:bCs w:val="0"/>
          <w:sz w:val="32"/>
          <w:szCs w:val="32"/>
        </w:rPr>
        <w:t>，吸引应急食品、新型环保材料、高值医疗耗材等国内外行业龙头企业，</w:t>
      </w:r>
      <w:r>
        <w:rPr>
          <w:rFonts w:ascii="仿宋_GB2312" w:hAnsi="Times New Roman" w:eastAsia="仿宋_GB2312"/>
          <w:b w:val="0"/>
          <w:bCs w:val="0"/>
          <w:sz w:val="32"/>
          <w:szCs w:val="32"/>
        </w:rPr>
        <w:t>加快产业</w:t>
      </w:r>
      <w:r>
        <w:rPr>
          <w:rFonts w:hint="eastAsia" w:ascii="仿宋_GB2312" w:hAnsi="Times New Roman" w:eastAsia="仿宋_GB2312"/>
          <w:b w:val="0"/>
          <w:bCs w:val="0"/>
          <w:sz w:val="32"/>
          <w:szCs w:val="32"/>
        </w:rPr>
        <w:t>集聚</w:t>
      </w:r>
      <w:r>
        <w:rPr>
          <w:rFonts w:ascii="仿宋_GB2312" w:hAnsi="Times New Roman" w:eastAsia="仿宋_GB2312"/>
          <w:b w:val="0"/>
          <w:bCs w:val="0"/>
          <w:sz w:val="32"/>
          <w:szCs w:val="32"/>
        </w:rPr>
        <w:t>发展</w:t>
      </w:r>
      <w:r>
        <w:rPr>
          <w:rFonts w:hint="eastAsia" w:ascii="仿宋_GB2312" w:hAnsi="Times New Roman" w:eastAsia="仿宋_GB2312"/>
          <w:b w:val="0"/>
          <w:bCs w:val="0"/>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Times New Roman" w:eastAsia="仿宋_GB2312"/>
          <w:b w:val="0"/>
          <w:bCs w:val="0"/>
          <w:sz w:val="32"/>
          <w:szCs w:val="32"/>
        </w:rPr>
      </w:pPr>
      <w:r>
        <w:rPr>
          <w:rFonts w:hint="eastAsia" w:ascii="楷体" w:hAnsi="楷体" w:eastAsia="楷体" w:cs="仿宋"/>
          <w:b w:val="0"/>
          <w:bCs w:val="0"/>
          <w:sz w:val="32"/>
          <w:szCs w:val="32"/>
        </w:rPr>
        <w:t>创新招商方式。</w:t>
      </w:r>
      <w:r>
        <w:rPr>
          <w:rFonts w:hint="eastAsia" w:ascii="仿宋_GB2312" w:hAnsi="仿宋" w:eastAsia="仿宋_GB2312" w:cs="仿宋"/>
          <w:b w:val="0"/>
          <w:bCs w:val="0"/>
          <w:sz w:val="32"/>
          <w:szCs w:val="32"/>
        </w:rPr>
        <w:t>通过深化产业研究，开展业务培训和实践，培养一批“产业专家”“谈判专家”，切实提高招商服务水平。 发挥企业招商主体作用，鼓励支持我区企业与国内外大集团、大企业、商协会的战略合作，着力引进上下游合作伙伴，推进产业链垂直整合，实现合作共赢。有偿委托各类商会、行业协会、产业联盟、投资机构、研究院所开展招商</w:t>
      </w:r>
      <w:r>
        <w:rPr>
          <w:rFonts w:ascii="仿宋_GB2312" w:hAnsi="仿宋" w:eastAsia="仿宋_GB2312" w:cs="仿宋"/>
          <w:b w:val="0"/>
          <w:bCs w:val="0"/>
          <w:sz w:val="32"/>
          <w:szCs w:val="32"/>
        </w:rPr>
        <w:t>工作</w:t>
      </w:r>
      <w:r>
        <w:rPr>
          <w:rFonts w:hint="eastAsia" w:ascii="仿宋_GB2312" w:hAnsi="仿宋" w:eastAsia="仿宋_GB2312" w:cs="仿宋"/>
          <w:b w:val="0"/>
          <w:bCs w:val="0"/>
          <w:sz w:val="32"/>
          <w:szCs w:val="32"/>
        </w:rPr>
        <w:t>，吸引社会力量参与招商。依托中俄博览会、寒博会、农博会、“9.8”投洽会等大型展会、商贸洽谈会，组织开展一系列招商推介活动，有针对性地开展项目洽谈，寻求合作机会，拓宽招商覆盖面。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b w:val="0"/>
          <w:bCs w:val="0"/>
        </w:rPr>
      </w:pPr>
      <w:r>
        <w:rPr>
          <w:rFonts w:hint="eastAsia" w:ascii="楷体" w:hAnsi="楷体" w:eastAsia="楷体" w:cs="仿宋"/>
          <w:b w:val="0"/>
          <w:bCs w:val="0"/>
          <w:sz w:val="32"/>
          <w:szCs w:val="32"/>
        </w:rPr>
        <w:t>优化项目服务环境。</w:t>
      </w:r>
      <w:r>
        <w:rPr>
          <w:rFonts w:hint="eastAsia" w:ascii="仿宋_GB2312" w:hAnsi="Times New Roman" w:eastAsia="仿宋_GB2312"/>
          <w:b w:val="0"/>
          <w:bCs w:val="0"/>
          <w:sz w:val="32"/>
          <w:szCs w:val="32"/>
        </w:rPr>
        <w:t>积极推行招商引资项目审批“一站式”服务。构建政府服务企业发展新途径，设立“首席服务员”，组建招商引资企业服务专班，为企业提供线上、线下一体化的联动服务新机制。在狠抓政策落实上下功夫，确保国家和省市出台的优惠政策落实落细。</w:t>
      </w:r>
      <w:bookmarkStart w:id="73" w:name="_Toc56155418"/>
      <w:r>
        <w:rPr>
          <w:rFonts w:hint="eastAsia" w:ascii="仿宋_GB2312" w:hAnsi="Times New Roman" w:eastAsia="仿宋_GB2312"/>
          <w:b w:val="0"/>
          <w:bCs w:val="0"/>
          <w:sz w:val="32"/>
          <w:szCs w:val="32"/>
        </w:rPr>
        <w:t>提高电子政务服务效率</w:t>
      </w:r>
      <w:bookmarkEnd w:id="73"/>
      <w:r>
        <w:rPr>
          <w:rFonts w:hint="eastAsia" w:ascii="仿宋_GB2312" w:hAnsi="Times New Roman" w:eastAsia="仿宋_GB2312"/>
          <w:b w:val="0"/>
          <w:bCs w:val="0"/>
          <w:sz w:val="32"/>
          <w:szCs w:val="32"/>
        </w:rPr>
        <w:t>，优化完善企业开办一网通办事平台。加大全程电子化企业登记力度，推广电子营业执照广泛应用。</w:t>
      </w:r>
      <w:bookmarkStart w:id="74" w:name="_Toc19571"/>
      <w:bookmarkStart w:id="75" w:name="_Toc28485"/>
      <w:bookmarkStart w:id="76" w:name="_Toc32212"/>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hint="eastAsia" w:ascii="黑体" w:hAnsi="黑体" w:eastAsia="黑体" w:cs="仿宋"/>
          <w:b w:val="0"/>
          <w:bCs w:val="0"/>
          <w:sz w:val="32"/>
          <w:szCs w:val="32"/>
        </w:rPr>
      </w:pPr>
      <w:bookmarkStart w:id="77" w:name="_Toc22356"/>
      <w:r>
        <w:rPr>
          <w:rFonts w:hint="eastAsia" w:ascii="黑体" w:hAnsi="黑体" w:eastAsia="黑体" w:cs="仿宋"/>
          <w:b w:val="0"/>
          <w:bCs w:val="0"/>
          <w:sz w:val="32"/>
          <w:szCs w:val="32"/>
        </w:rPr>
        <w:t xml:space="preserve">第十二章 </w:t>
      </w:r>
      <w:bookmarkEnd w:id="74"/>
      <w:bookmarkEnd w:id="75"/>
      <w:bookmarkEnd w:id="76"/>
      <w:r>
        <w:rPr>
          <w:rFonts w:hint="eastAsia" w:ascii="黑体" w:hAnsi="黑体" w:eastAsia="黑体" w:cs="仿宋"/>
          <w:b w:val="0"/>
          <w:bCs w:val="0"/>
          <w:sz w:val="32"/>
          <w:szCs w:val="32"/>
        </w:rPr>
        <w:t>巩固社会治理成效</w:t>
      </w:r>
      <w:r>
        <w:rPr>
          <w:rFonts w:hint="eastAsia" w:ascii="黑体" w:hAnsi="黑体" w:eastAsia="黑体" w:cs="仿宋"/>
          <w:b w:val="0"/>
          <w:bCs w:val="0"/>
          <w:sz w:val="32"/>
          <w:szCs w:val="32"/>
          <w:lang w:val="en-US" w:eastAsia="zh-CN"/>
        </w:rPr>
        <w:t xml:space="preserve"> </w:t>
      </w:r>
      <w:r>
        <w:rPr>
          <w:rFonts w:hint="eastAsia" w:ascii="黑体" w:hAnsi="黑体" w:eastAsia="黑体" w:cs="仿宋"/>
          <w:b w:val="0"/>
          <w:bCs w:val="0"/>
          <w:sz w:val="32"/>
          <w:szCs w:val="32"/>
        </w:rPr>
        <w:t>建设更高水平“平安呼兰”</w:t>
      </w:r>
      <w:bookmarkEnd w:id="77"/>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全面贯彻落实总体国家安全观，坚持安全第一、预防为主的方针，坚持问题导向、源头治理、本质安全原则，积极推动城市安全管理理念、体制机制创新，完善城市应急管理体系，推动更高水平“平安呼兰”建设。</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78" w:name="_Toc56155414"/>
      <w:bookmarkStart w:id="79" w:name="_Toc20413"/>
      <w:r>
        <w:rPr>
          <w:rFonts w:hint="eastAsia" w:ascii="黑体" w:hAnsi="黑体" w:eastAsia="黑体" w:cs="仿宋"/>
          <w:b w:val="0"/>
          <w:bCs w:val="0"/>
          <w:sz w:val="32"/>
          <w:szCs w:val="32"/>
        </w:rPr>
        <w:t xml:space="preserve">第一节 </w:t>
      </w:r>
      <w:bookmarkEnd w:id="78"/>
      <w:r>
        <w:rPr>
          <w:rFonts w:hint="eastAsia" w:ascii="黑体" w:hAnsi="黑体" w:eastAsia="黑体" w:cs="仿宋"/>
          <w:b w:val="0"/>
          <w:bCs w:val="0"/>
          <w:sz w:val="32"/>
          <w:szCs w:val="32"/>
        </w:rPr>
        <w:t>全面提升政府执政能力</w:t>
      </w:r>
      <w:bookmarkEnd w:id="79"/>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华文仿宋"/>
          <w:b w:val="0"/>
          <w:bCs w:val="0"/>
          <w:sz w:val="32"/>
          <w:szCs w:val="32"/>
        </w:rPr>
      </w:pPr>
      <w:r>
        <w:rPr>
          <w:rFonts w:hint="eastAsia" w:ascii="仿宋_GB2312" w:hAnsi="仿宋" w:eastAsia="仿宋_GB2312" w:cs="华文仿宋"/>
          <w:b w:val="0"/>
          <w:bCs w:val="0"/>
          <w:sz w:val="32"/>
          <w:szCs w:val="32"/>
        </w:rPr>
        <w:t>深入贯彻全面从严治党，以深化改革推动廉政建设，以严明纪律推动作风转变，以健全制度推动高效运转，全面提升执政能力。</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华文仿宋"/>
          <w:b w:val="0"/>
          <w:bCs w:val="0"/>
          <w:sz w:val="32"/>
          <w:szCs w:val="32"/>
        </w:rPr>
      </w:pPr>
      <w:r>
        <w:rPr>
          <w:rFonts w:hint="eastAsia" w:ascii="楷体" w:hAnsi="楷体" w:eastAsia="楷体" w:cs="仿宋"/>
          <w:b w:val="0"/>
          <w:bCs w:val="0"/>
          <w:sz w:val="32"/>
          <w:szCs w:val="32"/>
        </w:rPr>
        <w:t>加强能力建设。</w:t>
      </w:r>
      <w:r>
        <w:rPr>
          <w:rFonts w:hint="eastAsia" w:ascii="仿宋_GB2312" w:hAnsi="仿宋" w:eastAsia="仿宋_GB2312" w:cs="华文仿宋"/>
          <w:b w:val="0"/>
          <w:bCs w:val="0"/>
          <w:sz w:val="32"/>
          <w:szCs w:val="32"/>
        </w:rPr>
        <w:t>始终以习近平新时代中国特色社会主义思想为指导，树牢“四个意识”，坚定“四个自信”，坚决做到“两个维护”。培养专业能力，提高专业水准，不断提升落实新发展理念的本领，倡导首创精神，敢于打破常规，善于运用大数据、物联网等新技术推动政府管理创新。</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华文仿宋"/>
          <w:b w:val="0"/>
          <w:bCs w:val="0"/>
          <w:sz w:val="32"/>
          <w:szCs w:val="32"/>
        </w:rPr>
      </w:pPr>
      <w:r>
        <w:rPr>
          <w:rFonts w:hint="eastAsia" w:ascii="楷体" w:hAnsi="楷体" w:eastAsia="楷体" w:cs="仿宋"/>
          <w:b w:val="0"/>
          <w:bCs w:val="0"/>
          <w:sz w:val="32"/>
          <w:szCs w:val="32"/>
        </w:rPr>
        <w:t>加强法治建设。</w:t>
      </w:r>
      <w:r>
        <w:rPr>
          <w:rFonts w:hint="eastAsia" w:ascii="仿宋_GB2312" w:hAnsi="仿宋" w:eastAsia="仿宋_GB2312" w:cs="华文仿宋"/>
          <w:b w:val="0"/>
          <w:bCs w:val="0"/>
          <w:sz w:val="32"/>
          <w:szCs w:val="32"/>
        </w:rPr>
        <w:t>坚决维护宪法和法律权威，自觉运用法治思维和法治方式推动工作，把政府工作全面纳入法制轨道。健全“党委领导、政府主导、部门协同、社会参与”的公共法律服务管理体制和工作机制，政府承担推进公共法律服务体系建设的主体责任，司法行政部门充分发挥牵头抓总作用，相关部门协同配合，形成工作合力。</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华文仿宋"/>
          <w:b w:val="0"/>
          <w:bCs w:val="0"/>
          <w:sz w:val="32"/>
          <w:szCs w:val="32"/>
        </w:rPr>
      </w:pPr>
      <w:r>
        <w:rPr>
          <w:rFonts w:hint="eastAsia" w:ascii="楷体" w:hAnsi="楷体" w:eastAsia="楷体" w:cs="仿宋"/>
          <w:b w:val="0"/>
          <w:bCs w:val="0"/>
          <w:sz w:val="32"/>
          <w:szCs w:val="32"/>
        </w:rPr>
        <w:t>加强作风建设。</w:t>
      </w:r>
      <w:r>
        <w:rPr>
          <w:rFonts w:hint="eastAsia" w:ascii="仿宋_GB2312" w:hAnsi="仿宋" w:eastAsia="仿宋_GB2312" w:cs="华文仿宋"/>
          <w:b w:val="0"/>
          <w:bCs w:val="0"/>
          <w:sz w:val="32"/>
          <w:szCs w:val="32"/>
        </w:rPr>
        <w:t>进一步强化正向激励引导，重点解决干事创业精气神、决策部署落实、担当作为、营商环境再优化、服务群众最后一公里问题，着力打造“办事不求人”好环境，凝神聚力把发展的节奏提上去，确保全面完成各项目标任务。加强廉政建设。严格落实“一岗双责”，严防重点工程和重点领域廉政风险，强化审计监督，用制度管住权力，为人民用好权力。坚决同一切消极腐败现象作斗争，全力整治群众身边的腐败和作风问题，维护清正廉洁良好形象。</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华文仿宋"/>
          <w:b w:val="0"/>
          <w:bCs w:val="0"/>
          <w:sz w:val="32"/>
          <w:szCs w:val="32"/>
        </w:rPr>
      </w:pPr>
      <w:r>
        <w:rPr>
          <w:rFonts w:hint="eastAsia" w:ascii="楷体" w:hAnsi="楷体" w:eastAsia="楷体" w:cs="仿宋"/>
          <w:b w:val="0"/>
          <w:bCs w:val="0"/>
          <w:sz w:val="32"/>
          <w:szCs w:val="32"/>
        </w:rPr>
        <w:t>加强体系建设。</w:t>
      </w:r>
      <w:r>
        <w:rPr>
          <w:rFonts w:hint="eastAsia" w:ascii="仿宋_GB2312" w:hAnsi="仿宋" w:eastAsia="仿宋_GB2312" w:cs="华文仿宋"/>
          <w:b w:val="0"/>
          <w:bCs w:val="0"/>
          <w:sz w:val="32"/>
          <w:szCs w:val="32"/>
        </w:rPr>
        <w:t>一切从广大人民的根本利益出发，构建和完善政府治理体系。坚持和完善中国特色社会主义行政体制，构建职责明确、依法行政的政府治理体系。不断完善宏观调控有力、市场监管有效的政府治理体系；不断完善社会治理有序、公共服务精细的政府治理体系；不断完善权责界限清晰、运行渠道顺畅的政府治理体系，建设人民满意的服务型政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华文仿宋"/>
          <w:b w:val="0"/>
          <w:bCs w:val="0"/>
          <w:sz w:val="32"/>
          <w:szCs w:val="32"/>
        </w:rPr>
      </w:pPr>
      <w:r>
        <w:rPr>
          <w:rFonts w:hint="eastAsia" w:ascii="楷体" w:hAnsi="楷体" w:eastAsia="楷体" w:cs="仿宋"/>
          <w:b w:val="0"/>
          <w:bCs w:val="0"/>
          <w:sz w:val="32"/>
          <w:szCs w:val="32"/>
        </w:rPr>
        <w:t>加强创新治理。</w:t>
      </w:r>
      <w:r>
        <w:rPr>
          <w:rFonts w:hint="eastAsia" w:ascii="仿宋_GB2312" w:hAnsi="仿宋" w:eastAsia="仿宋_GB2312" w:cs="华文仿宋"/>
          <w:b w:val="0"/>
          <w:bCs w:val="0"/>
          <w:sz w:val="32"/>
          <w:szCs w:val="32"/>
        </w:rPr>
        <w:t>坚持和发展新时代“枫桥经验”，开展“学东莱”活动，健全党组织领导的政治、自治、法治、德治、智治“五治融合”的社会治理方式。全面启动“八五”普法。深入多种形式的“平安呼兰”创建活动，完善基层平安创建标准和创建模式，真正构建起以平安全域为抓手、以平安行业为支撑、以平安社会为根基的平安呼兰建设新格局，着力打造独具呼兰特色的社会治理品牌。完善社会治理体系，构建网格化管理、精细化服务、信息化支撑、开放共享的基层管理服务平台。拓展全国政法队伍教育整顿试点工作成果，打造过硬政法队伍，为推进社会治理现代化提供保障。</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80" w:name="_Toc7014"/>
      <w:r>
        <w:rPr>
          <w:rFonts w:hint="eastAsia" w:ascii="黑体" w:hAnsi="黑体" w:eastAsia="黑体" w:cs="仿宋"/>
          <w:b w:val="0"/>
          <w:bCs w:val="0"/>
          <w:sz w:val="32"/>
          <w:szCs w:val="32"/>
        </w:rPr>
        <w:t>第二节 推动扫黑除恶常态化开展</w:t>
      </w:r>
      <w:bookmarkEnd w:id="80"/>
    </w:p>
    <w:p>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紧紧围绕贯彻党中央决策部署，全面学习贯彻党的十九届五中全会、中央全面依法治国工作会议精神,在巩固三年扫黑除恶专项斗争成果的基础上,坚持目标不变、力度不减、尺度不松，继续围绕打击黑恶势力、深挖黑恶势力“保护伞”、涉黑涉恶线索排查、精准“打财断血”、重点行业领域专项整治等重点工作，常态化开展扫黑除恶。坚持对涉黑涉恶违法犯罪打早打小、露头就打，始终保持对黑恶势力高压严打态势。坚持厉行禁毒方针，始终保持对毒品犯罪“零容忍”，出重拳、下重手，依法从重从快集中打击，解决群众反映强烈的突出毒品问题。要坚决打好整治突出毒品问题攻坚战，做好禁毒工作是全社会的共同责任，需要全社会共同努力，要坚持多措并举、综合治理，努力构建形成党委领导、政府负责、部门协同、社会共治的禁毒工作格局，凝聚起禁毒人民战争的强大合力。建立健全打击、整治、管理等方面制度机制，形成系统的扫黑除恶常态化机制体系，努力实现长效常治。提升司法执法水平，打造公平正义法治环境，提升综合治理能力，改善社会治安环境，加快建设更高水平的平安呼兰、法治呼兰，为决战决胜全面建成小康社会、构建呼兰新发展格局、促进社会和谐稳定、推进经济高质量发展保驾护航。</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81" w:name="_Toc26084"/>
      <w:bookmarkStart w:id="82" w:name="_Toc26191"/>
      <w:bookmarkStart w:id="83" w:name="_Toc14712"/>
      <w:bookmarkStart w:id="84" w:name="_Toc20718"/>
      <w:bookmarkStart w:id="85" w:name="_Toc7618"/>
      <w:bookmarkStart w:id="86" w:name="_Toc13472"/>
      <w:bookmarkStart w:id="87" w:name="_Toc15159"/>
      <w:bookmarkStart w:id="88" w:name="_Toc17111"/>
      <w:r>
        <w:rPr>
          <w:rFonts w:hint="eastAsia" w:ascii="黑体" w:hAnsi="黑体" w:eastAsia="黑体" w:cs="仿宋"/>
          <w:b w:val="0"/>
          <w:bCs w:val="0"/>
          <w:sz w:val="32"/>
          <w:szCs w:val="32"/>
        </w:rPr>
        <w:t>第三节 筑牢安全</w:t>
      </w:r>
      <w:bookmarkEnd w:id="81"/>
      <w:bookmarkEnd w:id="82"/>
      <w:r>
        <w:rPr>
          <w:rFonts w:hint="eastAsia" w:ascii="黑体" w:hAnsi="黑体" w:eastAsia="黑体" w:cs="仿宋"/>
          <w:b w:val="0"/>
          <w:bCs w:val="0"/>
          <w:sz w:val="32"/>
          <w:szCs w:val="32"/>
        </w:rPr>
        <w:t>生产防线</w:t>
      </w:r>
      <w:bookmarkEnd w:id="83"/>
      <w:bookmarkEnd w:id="84"/>
      <w:bookmarkEnd w:id="85"/>
      <w:bookmarkEnd w:id="86"/>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全面落实全区党委、政府“党政同责、一岗双责、失职追责”的安全生产责任，落实“管行业必须管安全、管业务必须管安全、管生产经营必须管安全”要求，健全完善以安全生产责任制为核心的各项安全生产制度措施，构建安全监管长效机制。</w:t>
      </w:r>
      <w:r>
        <w:rPr>
          <w:rFonts w:hint="eastAsia" w:ascii="仿宋_GB2312" w:hAnsi="仿宋" w:eastAsia="仿宋_GB2312" w:cs="仿宋"/>
          <w:b w:val="0"/>
          <w:bCs w:val="0"/>
          <w:sz w:val="32"/>
          <w:szCs w:val="32"/>
          <w:highlight w:val="none"/>
        </w:rPr>
        <w:t>深入开展安全生产专项整治三年行动，</w:t>
      </w:r>
      <w:r>
        <w:rPr>
          <w:rFonts w:hint="eastAsia" w:ascii="仿宋_GB2312" w:hAnsi="仿宋" w:eastAsia="仿宋_GB2312" w:cs="仿宋"/>
          <w:b w:val="0"/>
          <w:bCs w:val="0"/>
          <w:sz w:val="32"/>
          <w:szCs w:val="32"/>
          <w:highlight w:val="none"/>
          <w:lang w:eastAsia="zh-CN"/>
        </w:rPr>
        <w:t>坚守安全防线，依法依规强化化工行业的安全生产管理；</w:t>
      </w:r>
      <w:r>
        <w:rPr>
          <w:rFonts w:hint="eastAsia" w:ascii="仿宋_GB2312" w:hAnsi="仿宋" w:eastAsia="仿宋_GB2312" w:cs="仿宋"/>
          <w:b w:val="0"/>
          <w:bCs w:val="0"/>
          <w:sz w:val="32"/>
          <w:szCs w:val="32"/>
        </w:rPr>
        <w:t>为全面维护好人民群众生命财产安全和经济高质量发展、社会和谐稳定提供有力的安全保障。全面打通消防“生命通道”，集中整治人员密集场所、高层建筑、大型商业综合体、城市地下轨道交通、石油化工企业、地下空间以及老旧场所、新材料新业态等场所领域的消防安全突出风险隐患，督办整改一批老旧场所历史遗留消防安全隐患问题，持续推进大体检、大执法、大培训、大曝光活动，推进建设消防安全不良记录“黑名单”。推动建设乡镇专职、志愿消防队和微型消防站，提高队伍正规化、专业化、职业化建设水平，开展联勤联训、联合演练，做到应急救援能力明显提高。健全食品安全党政同责机制，建立健全食品安全沟通协作机制，完善药品不良反应监测体系，推进建设特种设备安全不良记录“黑名单”制度。</w:t>
      </w:r>
    </w:p>
    <w:tbl>
      <w:tblPr>
        <w:tblStyle w:val="6"/>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525" w:type="dxa"/>
            <w:noWrap w:val="0"/>
            <w:vAlign w:val="top"/>
          </w:tcPr>
          <w:p>
            <w:pPr>
              <w:spacing w:before="240" w:after="240"/>
              <w:jc w:val="center"/>
              <w:outlineLvl w:val="5"/>
              <w:rPr>
                <w:rFonts w:ascii="仿宋_GB2312" w:hAnsi="仿宋" w:eastAsia="仿宋_GB2312" w:cs="仿宋"/>
                <w:b w:val="0"/>
                <w:bCs w:val="0"/>
                <w:sz w:val="24"/>
                <w:szCs w:val="24"/>
                <w:shd w:val="clear" w:color="auto" w:fill="auto"/>
              </w:rPr>
            </w:pPr>
            <w:r>
              <w:rPr>
                <w:rFonts w:hint="eastAsia" w:ascii="仿宋_GB2312" w:hAnsi="仿宋" w:eastAsia="仿宋_GB2312" w:cs="仿宋"/>
                <w:b w:val="0"/>
                <w:bCs w:val="0"/>
                <w:sz w:val="24"/>
                <w:szCs w:val="24"/>
                <w:shd w:val="clear" w:color="auto" w:fill="auto"/>
              </w:rPr>
              <w:t>专栏</w:t>
            </w:r>
            <w:r>
              <w:rPr>
                <w:rFonts w:hint="eastAsia" w:ascii="仿宋_GB2312" w:hAnsi="仿宋" w:eastAsia="仿宋_GB2312" w:cs="仿宋"/>
                <w:b w:val="0"/>
                <w:bCs w:val="0"/>
                <w:sz w:val="24"/>
                <w:szCs w:val="24"/>
                <w:shd w:val="clear" w:color="auto" w:fill="auto"/>
                <w:lang w:val="en-US" w:eastAsia="zh-CN"/>
              </w:rPr>
              <w:t>20</w:t>
            </w:r>
            <w:r>
              <w:rPr>
                <w:rFonts w:hint="eastAsia" w:ascii="仿宋_GB2312" w:hAnsi="仿宋" w:eastAsia="仿宋_GB2312" w:cs="仿宋"/>
                <w:b w:val="0"/>
                <w:bCs w:val="0"/>
                <w:sz w:val="24"/>
                <w:szCs w:val="24"/>
                <w:shd w:val="clear" w:color="auto" w:fill="auto"/>
              </w:rPr>
              <w:t xml:space="preserve">  公共安全重点工程项目</w:t>
            </w:r>
          </w:p>
          <w:p>
            <w:pPr>
              <w:pStyle w:val="9"/>
              <w:rPr>
                <w:rFonts w:ascii="仿宋_GB2312" w:hAnsi="仿宋" w:eastAsia="仿宋_GB2312" w:cs="仿宋"/>
                <w:b w:val="0"/>
                <w:bCs w:val="0"/>
                <w:sz w:val="24"/>
                <w:szCs w:val="24"/>
              </w:rPr>
            </w:pPr>
            <w:r>
              <w:rPr>
                <w:rFonts w:ascii="仿宋_GB2312" w:hAnsi="仿宋" w:eastAsia="仿宋_GB2312" w:cs="仿宋"/>
                <w:b w:val="0"/>
                <w:bCs w:val="0"/>
                <w:sz w:val="24"/>
                <w:szCs w:val="24"/>
                <w:shd w:val="clear" w:color="auto" w:fill="auto"/>
              </w:rPr>
              <w:t>萧红故居安防监控、消防改造、导视系统项目</w:t>
            </w:r>
            <w:r>
              <w:rPr>
                <w:rFonts w:hint="eastAsia" w:ascii="仿宋_GB2312" w:hAnsi="仿宋" w:eastAsia="仿宋_GB2312" w:cs="仿宋"/>
                <w:b w:val="0"/>
                <w:bCs w:val="0"/>
                <w:sz w:val="24"/>
                <w:szCs w:val="24"/>
                <w:shd w:val="clear" w:color="auto" w:fill="auto"/>
              </w:rPr>
              <w:t>。萧红故居安防监控</w:t>
            </w:r>
            <w:r>
              <w:rPr>
                <w:rFonts w:hint="eastAsia" w:ascii="仿宋_GB2312" w:hAnsi="仿宋" w:eastAsia="仿宋_GB2312" w:cs="仿宋"/>
                <w:b w:val="0"/>
                <w:bCs w:val="0"/>
                <w:sz w:val="24"/>
                <w:szCs w:val="24"/>
                <w:shd w:val="clear" w:color="auto" w:fill="auto"/>
                <w:lang w:eastAsia="zh-CN"/>
              </w:rPr>
              <w:t>、</w:t>
            </w:r>
            <w:r>
              <w:rPr>
                <w:rFonts w:hint="eastAsia" w:ascii="仿宋_GB2312" w:hAnsi="仿宋" w:eastAsia="仿宋_GB2312" w:cs="仿宋"/>
                <w:b w:val="0"/>
                <w:bCs w:val="0"/>
                <w:sz w:val="24"/>
                <w:szCs w:val="24"/>
                <w:shd w:val="clear" w:color="auto" w:fill="auto"/>
              </w:rPr>
              <w:t>消防改造、导视系统。</w:t>
            </w:r>
          </w:p>
        </w:tc>
      </w:tr>
    </w:tbl>
    <w:p>
      <w:pPr>
        <w:pStyle w:val="2"/>
        <w:rPr>
          <w:b w:val="0"/>
          <w:bCs w:val="0"/>
        </w:rPr>
      </w:pP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89" w:name="_Toc15537"/>
      <w:bookmarkStart w:id="90" w:name="_Toc314"/>
      <w:bookmarkStart w:id="91" w:name="_Toc4330"/>
      <w:bookmarkStart w:id="92" w:name="_Toc23645"/>
      <w:r>
        <w:rPr>
          <w:rFonts w:hint="eastAsia" w:ascii="黑体" w:hAnsi="黑体" w:eastAsia="黑体" w:cs="仿宋"/>
          <w:b w:val="0"/>
          <w:bCs w:val="0"/>
          <w:sz w:val="32"/>
          <w:szCs w:val="32"/>
        </w:rPr>
        <w:t>第四节 加强公共卫生安全防控</w:t>
      </w:r>
      <w:bookmarkEnd w:id="87"/>
      <w:bookmarkEnd w:id="88"/>
      <w:bookmarkEnd w:id="89"/>
      <w:bookmarkEnd w:id="90"/>
      <w:bookmarkEnd w:id="91"/>
      <w:bookmarkEnd w:id="92"/>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建立完善畅通的公共卫生安全防控体系。</w:t>
      </w:r>
      <w:r>
        <w:rPr>
          <w:rFonts w:hint="eastAsia" w:ascii="仿宋_GB2312" w:hAnsi="仿宋" w:eastAsia="仿宋_GB2312" w:cs="仿宋"/>
          <w:b w:val="0"/>
          <w:bCs w:val="0"/>
          <w:sz w:val="32"/>
          <w:szCs w:val="32"/>
        </w:rPr>
        <w:t>搭建政府、医学、经济管理、应急管理、社会管理等方面人员和专家组成的议事协调机构，明确职责，依法行事，制定预案，强化监督；加强应急物资储备，切实加强粮食、医药、防疫物资等战略物资储备和乡镇各级防护物资生产储备及供应；强化公共医疗服务基础设施建设，分级建立用于疫情等疾病防控的隔离、医疗设施，自成体系，封闭运行，依靠科研力量做好动物疫情防控。</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楷体" w:hAnsi="楷体" w:eastAsia="楷体" w:cs="仿宋"/>
          <w:b w:val="0"/>
          <w:bCs w:val="0"/>
          <w:sz w:val="32"/>
          <w:szCs w:val="32"/>
        </w:rPr>
        <w:t>持续推进平安乡村建设。</w:t>
      </w:r>
      <w:r>
        <w:rPr>
          <w:rFonts w:hint="eastAsia" w:ascii="仿宋_GB2312" w:hAnsi="仿宋" w:eastAsia="仿宋_GB2312" w:cs="仿宋"/>
          <w:b w:val="0"/>
          <w:bCs w:val="0"/>
          <w:sz w:val="32"/>
          <w:szCs w:val="32"/>
        </w:rPr>
        <w:t>将消防工作纳入乡村振兴总体规划实施，统筹管理和系统衔接，研究完善乡村消防专项规划，同步推进消防基础设施建设和维护管理。乡镇、街道要强化消防安全管理体制建设，设立乡</w:t>
      </w:r>
      <w:r>
        <w:rPr>
          <w:rFonts w:hint="eastAsia" w:ascii="仿宋_GB2312" w:hAnsi="仿宋" w:eastAsia="仿宋_GB2312" w:cs="仿宋"/>
          <w:b w:val="0"/>
          <w:bCs w:val="0"/>
          <w:sz w:val="32"/>
          <w:szCs w:val="32"/>
          <w:lang w:eastAsia="zh-CN"/>
        </w:rPr>
        <w:t>（</w:t>
      </w:r>
      <w:r>
        <w:rPr>
          <w:rFonts w:hint="eastAsia" w:ascii="仿宋_GB2312" w:hAnsi="仿宋" w:eastAsia="仿宋_GB2312" w:cs="仿宋"/>
          <w:b w:val="0"/>
          <w:bCs w:val="0"/>
          <w:sz w:val="32"/>
          <w:szCs w:val="32"/>
        </w:rPr>
        <w:t>镇</w:t>
      </w:r>
      <w:r>
        <w:rPr>
          <w:rFonts w:hint="eastAsia" w:ascii="仿宋_GB2312" w:hAnsi="仿宋" w:eastAsia="仿宋_GB2312" w:cs="仿宋"/>
          <w:b w:val="0"/>
          <w:bCs w:val="0"/>
          <w:sz w:val="32"/>
          <w:szCs w:val="32"/>
          <w:lang w:eastAsia="zh-CN"/>
        </w:rPr>
        <w:t>）、</w:t>
      </w:r>
      <w:r>
        <w:rPr>
          <w:rFonts w:hint="eastAsia" w:ascii="仿宋_GB2312" w:hAnsi="仿宋" w:eastAsia="仿宋_GB2312" w:cs="仿宋"/>
          <w:b w:val="0"/>
          <w:bCs w:val="0"/>
          <w:sz w:val="32"/>
          <w:szCs w:val="32"/>
        </w:rPr>
        <w:t>街道消防安全委员会，明确消防安全管理机构，委托或授权乡镇街道综合执法机构履行消防监督执法权。公安派出所做好日常消防安全检查和消防宣传工作。行政村发挥基本治理单元作用，结合平安乡村建设和农村社会治安工作，成立由村“两委”成员牵头的消防管理组织，结合乡村房改、水改、电改、社改、路改等工作，同步推进规划部署消防安全改革、消防基础设施建设和维护管理。</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93" w:name="_Toc3829"/>
      <w:bookmarkStart w:id="94" w:name="_Toc27791"/>
      <w:bookmarkStart w:id="95" w:name="_Toc12602"/>
      <w:bookmarkStart w:id="96" w:name="_Toc27300"/>
      <w:bookmarkStart w:id="97" w:name="_Toc23658"/>
      <w:bookmarkStart w:id="98" w:name="_Toc28249"/>
      <w:bookmarkStart w:id="99" w:name="_Toc5744"/>
      <w:r>
        <w:rPr>
          <w:rFonts w:hint="eastAsia" w:ascii="黑体" w:hAnsi="黑体" w:eastAsia="黑体" w:cs="仿宋"/>
          <w:b w:val="0"/>
          <w:bCs w:val="0"/>
          <w:sz w:val="32"/>
          <w:szCs w:val="32"/>
        </w:rPr>
        <w:t xml:space="preserve">第五节 </w:t>
      </w:r>
      <w:bookmarkEnd w:id="93"/>
      <w:bookmarkEnd w:id="94"/>
      <w:bookmarkEnd w:id="95"/>
      <w:bookmarkEnd w:id="96"/>
      <w:bookmarkEnd w:id="97"/>
      <w:r>
        <w:rPr>
          <w:rFonts w:hint="eastAsia" w:ascii="黑体" w:hAnsi="黑体" w:eastAsia="黑体" w:cs="仿宋"/>
          <w:b w:val="0"/>
          <w:bCs w:val="0"/>
          <w:sz w:val="32"/>
          <w:szCs w:val="32"/>
        </w:rPr>
        <w:t>提升应急管理能力</w:t>
      </w:r>
      <w:bookmarkEnd w:id="98"/>
    </w:p>
    <w:bookmarkEnd w:id="99"/>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建立“统一指挥、专常兼备、反应灵敏、上下联动”的应急管理体制和防救相承、有效衔接、全程贯通、顺畅快捷的应急管理机制，有力有序有效应对处置各类突发事件。建立完善风险防控、监测预警、会商研判、信息共享公开、分级响应、指挥联动、善后救治、调查评估和恢复重建等机制。形成政府主导、部门协调、全社会共同参与的应急管理工作格局。增强突发公共事件的预防与应急准备、应急处理、恢复重建和应急保障等能力，有效减少自然灾害中造成的生命财产损失。深入开展综合防灾救灾减灾工作。坚持以防为主、防抗救相结合，坚持常态减灾和非常态救灾相统一，努力实现从注重灾后</w:t>
      </w:r>
      <w:bookmarkStart w:id="115" w:name="_GoBack"/>
      <w:bookmarkEnd w:id="115"/>
      <w:r>
        <w:rPr>
          <w:rFonts w:hint="eastAsia" w:ascii="仿宋_GB2312" w:hAnsi="仿宋" w:eastAsia="仿宋_GB2312" w:cs="仿宋"/>
          <w:b w:val="0"/>
          <w:bCs w:val="0"/>
          <w:sz w:val="32"/>
          <w:szCs w:val="32"/>
        </w:rPr>
        <w:t>求助向注重灾前预防转变，从应对单一灾种向综合减灾转变，从减少灾害损失向降低灾害风险转变，将工作重心由应急救灾向常态化防灾减灾转变。</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100" w:name="_Toc6883"/>
      <w:r>
        <w:rPr>
          <w:rFonts w:hint="eastAsia" w:ascii="黑体" w:hAnsi="黑体" w:eastAsia="黑体" w:cs="仿宋"/>
          <w:b w:val="0"/>
          <w:bCs w:val="0"/>
          <w:sz w:val="32"/>
          <w:szCs w:val="32"/>
        </w:rPr>
        <w:t>第六节 统筹发展和安全</w:t>
      </w:r>
      <w:bookmarkEnd w:id="100"/>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坚持总体国家安全观，实施国家安全战略，维护和塑造国家安全，防范和化解影响区域现代化进程的各种风险，筑牢安全屏障。要加强安全体系和能力建设，确保经济安全，保障人民生命安全，维护社会稳定和安全。贯彻落实国家国防安全、粮食安全、生态安全、能源安全、产业安全的战略定位。强化源头防控，加强对政治、经济、金融等各类风险隐患的源头发现、早期控制，不断提升风险预警防范化解能力。</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101" w:name="_Toc12223"/>
      <w:r>
        <w:rPr>
          <w:rFonts w:hint="eastAsia" w:ascii="黑体" w:hAnsi="黑体" w:eastAsia="黑体" w:cs="仿宋"/>
          <w:b w:val="0"/>
          <w:bCs w:val="0"/>
          <w:sz w:val="32"/>
          <w:szCs w:val="32"/>
        </w:rPr>
        <w:t>第七节 维护社会和谐稳定</w:t>
      </w:r>
      <w:bookmarkEnd w:id="101"/>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推行基层党建、城市管理、综治维稳多网合一，治安隐患、矛盾纠纷等问题在网格中解决，维护社会和谐稳定。深入做好矛盾纠纷排查调处，维护良好的信访秩序。扎实开展严打整治专项活动，严厉打击违法犯罪活动。深入实施社会治安综合治理，维护良好的社会治安秩序。</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hint="eastAsia" w:ascii="黑体" w:hAnsi="黑体" w:eastAsia="黑体" w:cs="仿宋"/>
          <w:b w:val="0"/>
          <w:bCs w:val="0"/>
          <w:sz w:val="32"/>
          <w:szCs w:val="32"/>
        </w:rPr>
      </w:pPr>
      <w:bookmarkStart w:id="102" w:name="_Toc32562"/>
      <w:r>
        <w:rPr>
          <w:rFonts w:hint="eastAsia" w:ascii="黑体" w:hAnsi="黑体" w:eastAsia="黑体" w:cs="仿宋"/>
          <w:b w:val="0"/>
          <w:bCs w:val="0"/>
          <w:sz w:val="32"/>
          <w:szCs w:val="32"/>
        </w:rPr>
        <w:t>第十三章 强化规划保障</w:t>
      </w:r>
      <w:r>
        <w:rPr>
          <w:rFonts w:hint="eastAsia" w:ascii="黑体" w:hAnsi="黑体" w:eastAsia="黑体" w:cs="仿宋"/>
          <w:b w:val="0"/>
          <w:bCs w:val="0"/>
          <w:sz w:val="32"/>
          <w:szCs w:val="32"/>
          <w:lang w:val="en-US" w:eastAsia="zh-CN"/>
        </w:rPr>
        <w:t xml:space="preserve">  </w:t>
      </w:r>
      <w:r>
        <w:rPr>
          <w:rFonts w:hint="eastAsia" w:ascii="黑体" w:hAnsi="黑体" w:eastAsia="黑体" w:cs="仿宋"/>
          <w:b w:val="0"/>
          <w:bCs w:val="0"/>
          <w:sz w:val="32"/>
          <w:szCs w:val="32"/>
        </w:rPr>
        <w:t>把目标任务落到实处</w:t>
      </w:r>
      <w:bookmarkEnd w:id="102"/>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规划经呼兰区人民代表大会审议批准，具有法律效力。要强化规划实施的组织领导、项目支撑、要素保障和机制创新，努力将宏伟蓝图转化为美好现实。</w:t>
      </w:r>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hint="eastAsia" w:ascii="黑体" w:hAnsi="黑体" w:eastAsia="黑体" w:cs="仿宋"/>
          <w:b w:val="0"/>
          <w:bCs w:val="0"/>
          <w:sz w:val="32"/>
          <w:szCs w:val="32"/>
        </w:rPr>
      </w:pPr>
      <w:bookmarkStart w:id="103" w:name="_Toc3701"/>
      <w:bookmarkStart w:id="104" w:name="_Toc475"/>
      <w:r>
        <w:rPr>
          <w:rFonts w:hint="eastAsia" w:ascii="黑体" w:hAnsi="黑体" w:eastAsia="黑体" w:cs="仿宋"/>
          <w:b w:val="0"/>
          <w:bCs w:val="0"/>
          <w:sz w:val="32"/>
          <w:szCs w:val="32"/>
        </w:rPr>
        <w:t>第一节 强化规划实施的组织领导</w:t>
      </w:r>
      <w:bookmarkEnd w:id="103"/>
      <w:bookmarkEnd w:id="104"/>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 w:eastAsia="仿宋_GB2312" w:cs="仿宋"/>
          <w:b w:val="0"/>
          <w:bCs w:val="0"/>
          <w:sz w:val="32"/>
          <w:szCs w:val="32"/>
        </w:rPr>
      </w:pPr>
      <w:bookmarkStart w:id="105" w:name="_Toc11300"/>
      <w:r>
        <w:rPr>
          <w:rFonts w:hint="eastAsia" w:ascii="仿宋_GB2312" w:hAnsi="仿宋" w:eastAsia="仿宋_GB2312" w:cs="仿宋"/>
          <w:b w:val="0"/>
          <w:bCs w:val="0"/>
          <w:sz w:val="32"/>
          <w:szCs w:val="32"/>
        </w:rPr>
        <w:t>坚持党的集中统一领导，坚决贯彻执行党的大政方针，切实发挥党总揽全局、协调各方制度的优势，全面加强党对“十四五”各项工作的组织领导。加强区委</w:t>
      </w:r>
      <w:r>
        <w:rPr>
          <w:rFonts w:hint="eastAsia" w:ascii="仿宋_GB2312" w:hAnsi="仿宋" w:eastAsia="仿宋_GB2312" w:cs="仿宋"/>
          <w:b w:val="0"/>
          <w:bCs w:val="0"/>
          <w:sz w:val="32"/>
          <w:szCs w:val="32"/>
          <w:lang w:eastAsia="zh-CN"/>
        </w:rPr>
        <w:t>、</w:t>
      </w:r>
      <w:r>
        <w:rPr>
          <w:rFonts w:hint="eastAsia" w:ascii="仿宋_GB2312" w:hAnsi="仿宋" w:eastAsia="仿宋_GB2312" w:cs="仿宋"/>
          <w:b w:val="0"/>
          <w:bCs w:val="0"/>
          <w:sz w:val="32"/>
          <w:szCs w:val="32"/>
        </w:rPr>
        <w:t>区政府领导班子、基层组织、党员干部对“十四五”经济社会发展规律的认识，坚持党管干部原则，落实好干部标准持续深化党的理论创新成果的实践应用，不断提高决策科学化水平。科学制定完善考核指标，创新规范考核方法，狠抓问题发现整改，确保完成“十四五”规划的各项任务目标。健全组织机构，专门跟踪规划中各项指标及任务的落实和完成情况，分阶段向区委和区人大汇报情况。区政府</w:t>
      </w:r>
      <w:r>
        <w:rPr>
          <w:rFonts w:hint="eastAsia" w:ascii="仿宋_GB2312" w:hAnsi="仿宋" w:eastAsia="仿宋_GB2312" w:cs="仿宋"/>
          <w:b w:val="0"/>
          <w:bCs w:val="0"/>
          <w:sz w:val="32"/>
          <w:szCs w:val="32"/>
          <w:lang w:eastAsia="zh-CN"/>
        </w:rPr>
        <w:t>将</w:t>
      </w:r>
      <w:r>
        <w:rPr>
          <w:rFonts w:hint="eastAsia" w:ascii="仿宋_GB2312" w:hAnsi="仿宋" w:eastAsia="仿宋_GB2312" w:cs="仿宋"/>
          <w:b w:val="0"/>
          <w:bCs w:val="0"/>
          <w:sz w:val="32"/>
          <w:szCs w:val="32"/>
        </w:rPr>
        <w:t>加强对规划实施的组织领导，制定工作方案，明确责任分工，完善工作机制，统筹推进规划实施工作，出台规划配套政策措施，协调解决规划实施中遇到的实际问题。加强对规划实施情况的跟踪分析和督促检查，适时组织开展对规划实施情况的评估。</w:t>
      </w:r>
      <w:bookmarkEnd w:id="105"/>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106" w:name="_Toc13440"/>
      <w:bookmarkStart w:id="107" w:name="_Toc17187"/>
      <w:bookmarkStart w:id="108" w:name="_Toc49694640"/>
      <w:bookmarkStart w:id="109" w:name="_Toc12483"/>
      <w:r>
        <w:rPr>
          <w:rFonts w:hint="eastAsia" w:ascii="黑体" w:hAnsi="黑体" w:eastAsia="黑体" w:cs="仿宋"/>
          <w:b w:val="0"/>
          <w:bCs w:val="0"/>
          <w:sz w:val="32"/>
          <w:szCs w:val="32"/>
        </w:rPr>
        <w:t>第二节 落实规划实施的支撑保障</w:t>
      </w:r>
      <w:bookmarkEnd w:id="106"/>
      <w:bookmarkEnd w:id="107"/>
      <w:bookmarkEnd w:id="108"/>
      <w:bookmarkEnd w:id="109"/>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 w:eastAsia="仿宋_GB2312" w:cs="仿宋"/>
          <w:b w:val="0"/>
          <w:bCs w:val="0"/>
          <w:sz w:val="32"/>
          <w:szCs w:val="32"/>
        </w:rPr>
      </w:pPr>
      <w:bookmarkStart w:id="110" w:name="_Toc14505"/>
      <w:r>
        <w:rPr>
          <w:rFonts w:hint="eastAsia" w:ascii="仿宋_GB2312" w:hAnsi="仿宋" w:eastAsia="仿宋_GB2312" w:cs="仿宋"/>
          <w:b w:val="0"/>
          <w:bCs w:val="0"/>
          <w:sz w:val="32"/>
          <w:szCs w:val="32"/>
        </w:rPr>
        <w:t>全面落实中央和省委、市委重大决策部署，加强政策引导、项目支撑和资金统筹，确保规划落地。加强规划实施考核监督和激励约束，明确各项任务责任主体和进度要求，将规划实施成效作为评价各部门工作情况的重要依据，确保规划实施质量和效果；围绕经济社会发展重点领域，强化政策导向，引导各类市场主体积极参与规划实施；坚持以规划确定项目、以项目落实规划，在创新创业、对外开放、现代产业、社会民生、生态环保、基础设施等领域，组织实施一批关系全局和长远发展的重大项目；加强项目实施管理，优化财政支出结构和政府投资结构，引导各类经济资源向重大规划项目倾斜;</w:t>
      </w:r>
      <w:r>
        <w:rPr>
          <w:rFonts w:ascii="仿宋_GB2312" w:hAnsi="仿宋" w:eastAsia="仿宋_GB2312" w:cs="仿宋"/>
          <w:b w:val="0"/>
          <w:bCs w:val="0"/>
          <w:sz w:val="32"/>
          <w:szCs w:val="32"/>
        </w:rPr>
        <w:t>加强</w:t>
      </w:r>
      <w:r>
        <w:rPr>
          <w:rFonts w:hint="eastAsia" w:ascii="仿宋_GB2312" w:hAnsi="仿宋" w:eastAsia="仿宋_GB2312" w:cs="仿宋"/>
          <w:b w:val="0"/>
          <w:bCs w:val="0"/>
          <w:sz w:val="32"/>
          <w:szCs w:val="32"/>
        </w:rPr>
        <w:t>规划</w:t>
      </w:r>
      <w:r>
        <w:rPr>
          <w:rFonts w:ascii="仿宋_GB2312" w:hAnsi="仿宋" w:eastAsia="仿宋_GB2312" w:cs="仿宋"/>
          <w:b w:val="0"/>
          <w:bCs w:val="0"/>
          <w:sz w:val="32"/>
          <w:szCs w:val="32"/>
        </w:rPr>
        <w:t>实施的</w:t>
      </w:r>
      <w:r>
        <w:rPr>
          <w:rFonts w:hint="eastAsia" w:ascii="仿宋_GB2312" w:hAnsi="仿宋" w:eastAsia="仿宋_GB2312" w:cs="仿宋"/>
          <w:b w:val="0"/>
          <w:bCs w:val="0"/>
          <w:sz w:val="32"/>
          <w:szCs w:val="32"/>
        </w:rPr>
        <w:t>纪律</w:t>
      </w:r>
      <w:r>
        <w:rPr>
          <w:rFonts w:ascii="仿宋_GB2312" w:hAnsi="仿宋" w:eastAsia="仿宋_GB2312" w:cs="仿宋"/>
          <w:b w:val="0"/>
          <w:bCs w:val="0"/>
          <w:sz w:val="32"/>
          <w:szCs w:val="32"/>
        </w:rPr>
        <w:t>保障，</w:t>
      </w:r>
      <w:r>
        <w:rPr>
          <w:rFonts w:hint="eastAsia" w:ascii="仿宋_GB2312" w:hAnsi="仿宋" w:eastAsia="仿宋_GB2312" w:cs="华文仿宋"/>
          <w:b w:val="0"/>
          <w:bCs w:val="0"/>
          <w:sz w:val="32"/>
          <w:szCs w:val="32"/>
        </w:rPr>
        <w:t>完善党和国家监督体系，把监督融入“十四五”建设各方面全过程，加强对《规划纲要》执行情况的监督检查，推动“十四五”时期呼兰经济社会发展各项目标任务落到实处。</w:t>
      </w:r>
      <w:bookmarkStart w:id="111" w:name="_Toc13559"/>
      <w:bookmarkStart w:id="112" w:name="_Toc49694641"/>
      <w:bookmarkStart w:id="113" w:name="_Toc20500"/>
    </w:p>
    <w:p>
      <w:pPr>
        <w:keepNext w:val="0"/>
        <w:keepLines w:val="0"/>
        <w:pageBreakBefore w:val="0"/>
        <w:widowControl w:val="0"/>
        <w:kinsoku/>
        <w:wordWrap/>
        <w:overflowPunct/>
        <w:topLinePunct w:val="0"/>
        <w:bidi w:val="0"/>
        <w:adjustRightInd/>
        <w:snapToGrid/>
        <w:spacing w:line="600" w:lineRule="exact"/>
        <w:jc w:val="center"/>
        <w:textAlignment w:val="auto"/>
        <w:outlineLvl w:val="1"/>
        <w:rPr>
          <w:rFonts w:ascii="黑体" w:hAnsi="黑体" w:eastAsia="黑体" w:cs="仿宋"/>
          <w:b w:val="0"/>
          <w:bCs w:val="0"/>
          <w:sz w:val="32"/>
          <w:szCs w:val="32"/>
        </w:rPr>
      </w:pPr>
      <w:bookmarkStart w:id="114" w:name="_Toc16067"/>
      <w:r>
        <w:rPr>
          <w:rFonts w:hint="eastAsia" w:ascii="黑体" w:hAnsi="黑体" w:eastAsia="黑体" w:cs="仿宋"/>
          <w:b w:val="0"/>
          <w:bCs w:val="0"/>
          <w:sz w:val="32"/>
          <w:szCs w:val="32"/>
        </w:rPr>
        <w:t>第三节 开展规划实施的监督评估</w:t>
      </w:r>
      <w:bookmarkEnd w:id="110"/>
      <w:bookmarkEnd w:id="111"/>
      <w:bookmarkEnd w:id="112"/>
      <w:bookmarkEnd w:id="113"/>
      <w:bookmarkEnd w:id="114"/>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pPr>
      <w:r>
        <w:rPr>
          <w:rFonts w:hint="eastAsia" w:ascii="仿宋_GB2312" w:hAnsi="仿宋" w:eastAsia="仿宋_GB2312" w:cs="仿宋"/>
          <w:b w:val="0"/>
          <w:bCs w:val="0"/>
          <w:sz w:val="32"/>
          <w:szCs w:val="32"/>
        </w:rPr>
        <w:t>依法开展规划实施的监测和评估，积极引入社会机构等第三方评估机制，增强规划评估的准确性和广泛性。建立规划实施监测评估与动态修订机制，强化动态管理和监测评估结果运</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用。相关部门要加强规划实施的监测、跟踪，自觉接受社会各界对规划实施情况的监督，注重听取社会各界对规划实施的意见和建议。在规划实施的中期阶段，要对规划实施情况进行中期评估。在规划实施期间，当遇到环境发生重大变化或因重大自然灾害等原因，确需调整本规划时，区政府</w:t>
      </w:r>
      <w:r>
        <w:rPr>
          <w:rFonts w:hint="eastAsia" w:ascii="仿宋_GB2312" w:hAnsi="仿宋" w:eastAsia="仿宋_GB2312" w:cs="仿宋"/>
          <w:b w:val="0"/>
          <w:bCs w:val="0"/>
          <w:sz w:val="32"/>
          <w:szCs w:val="32"/>
          <w:lang w:eastAsia="zh-CN"/>
        </w:rPr>
        <w:t>将</w:t>
      </w:r>
      <w:r>
        <w:rPr>
          <w:rFonts w:hint="eastAsia" w:ascii="仿宋_GB2312" w:hAnsi="仿宋" w:eastAsia="仿宋_GB2312" w:cs="仿宋"/>
          <w:b w:val="0"/>
          <w:bCs w:val="0"/>
          <w:sz w:val="32"/>
          <w:szCs w:val="32"/>
        </w:rPr>
        <w:t>及时提出调整方案，报请区人大常委会批准实施。</w:t>
      </w:r>
    </w:p>
    <w:p/>
    <w:sectPr>
      <w:footerReference r:id="rId3" w:type="default"/>
      <w:pgSz w:w="11906" w:h="16838"/>
      <w:pgMar w:top="1701" w:right="1588" w:bottom="1701" w:left="1588" w:header="851" w:footer="85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35188"/>
    <w:multiLevelType w:val="singleLevel"/>
    <w:tmpl w:val="CF735188"/>
    <w:lvl w:ilvl="0" w:tentative="0">
      <w:start w:val="1"/>
      <w:numFmt w:val="chineseCounting"/>
      <w:suff w:val="space"/>
      <w:lvlText w:val="第%1章"/>
      <w:lvlJc w:val="left"/>
      <w:rPr>
        <w:rFonts w:hint="eastAsia"/>
      </w:rPr>
    </w:lvl>
  </w:abstractNum>
  <w:abstractNum w:abstractNumId="1">
    <w:nsid w:val="D6761693"/>
    <w:multiLevelType w:val="singleLevel"/>
    <w:tmpl w:val="D6761693"/>
    <w:lvl w:ilvl="0" w:tentative="0">
      <w:start w:val="8"/>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OTcwNDZmNGZmZmUzNjQzODc5ZDAwNDFhMGQyOGQifQ=="/>
  </w:docVars>
  <w:rsids>
    <w:rsidRoot w:val="1BA574B8"/>
    <w:rsid w:val="019C7523"/>
    <w:rsid w:val="029E6744"/>
    <w:rsid w:val="030712AF"/>
    <w:rsid w:val="036B0E5C"/>
    <w:rsid w:val="03BB612F"/>
    <w:rsid w:val="03E2571F"/>
    <w:rsid w:val="042A7FF9"/>
    <w:rsid w:val="045D40CB"/>
    <w:rsid w:val="045D7B1D"/>
    <w:rsid w:val="04904C40"/>
    <w:rsid w:val="04B227A2"/>
    <w:rsid w:val="054E1FC9"/>
    <w:rsid w:val="05AE0E5E"/>
    <w:rsid w:val="07A96EA6"/>
    <w:rsid w:val="07D336FA"/>
    <w:rsid w:val="091A7CEE"/>
    <w:rsid w:val="09A91D38"/>
    <w:rsid w:val="0A2F5D85"/>
    <w:rsid w:val="0AD23A5D"/>
    <w:rsid w:val="0AD44953"/>
    <w:rsid w:val="0BA300BF"/>
    <w:rsid w:val="0BA91113"/>
    <w:rsid w:val="0BDA2596"/>
    <w:rsid w:val="0C350098"/>
    <w:rsid w:val="0C350F55"/>
    <w:rsid w:val="0C40139C"/>
    <w:rsid w:val="0C446C43"/>
    <w:rsid w:val="0CD47793"/>
    <w:rsid w:val="0D5B7529"/>
    <w:rsid w:val="0E8A3A3D"/>
    <w:rsid w:val="0F3752CF"/>
    <w:rsid w:val="0FAE4308"/>
    <w:rsid w:val="109D08D8"/>
    <w:rsid w:val="10C947C1"/>
    <w:rsid w:val="10F213BF"/>
    <w:rsid w:val="110B012F"/>
    <w:rsid w:val="11BF12FE"/>
    <w:rsid w:val="124433CD"/>
    <w:rsid w:val="124C38F5"/>
    <w:rsid w:val="126B6855"/>
    <w:rsid w:val="13686191"/>
    <w:rsid w:val="137915C8"/>
    <w:rsid w:val="13981886"/>
    <w:rsid w:val="13C72D20"/>
    <w:rsid w:val="140F3746"/>
    <w:rsid w:val="14756EAC"/>
    <w:rsid w:val="14AB6D22"/>
    <w:rsid w:val="14E24825"/>
    <w:rsid w:val="15CD4F5E"/>
    <w:rsid w:val="15EF5D9A"/>
    <w:rsid w:val="175D3CF1"/>
    <w:rsid w:val="180C6718"/>
    <w:rsid w:val="188874BC"/>
    <w:rsid w:val="18A227B6"/>
    <w:rsid w:val="18A857B4"/>
    <w:rsid w:val="18D12E49"/>
    <w:rsid w:val="19DA3282"/>
    <w:rsid w:val="1A464744"/>
    <w:rsid w:val="1A7A2BB3"/>
    <w:rsid w:val="1A9F0231"/>
    <w:rsid w:val="1B346CF1"/>
    <w:rsid w:val="1B366390"/>
    <w:rsid w:val="1BA574B8"/>
    <w:rsid w:val="1C197751"/>
    <w:rsid w:val="1CEA29C4"/>
    <w:rsid w:val="1CED5AA6"/>
    <w:rsid w:val="1D7B6FF3"/>
    <w:rsid w:val="1DA25DD2"/>
    <w:rsid w:val="1E687893"/>
    <w:rsid w:val="1EC1752F"/>
    <w:rsid w:val="1ED22650"/>
    <w:rsid w:val="1EF82FDB"/>
    <w:rsid w:val="1F807F82"/>
    <w:rsid w:val="1FC17A3F"/>
    <w:rsid w:val="1FF5269F"/>
    <w:rsid w:val="20626DAA"/>
    <w:rsid w:val="21774A90"/>
    <w:rsid w:val="221D1DF1"/>
    <w:rsid w:val="22550DE3"/>
    <w:rsid w:val="22AF52AF"/>
    <w:rsid w:val="23374185"/>
    <w:rsid w:val="23BC41AE"/>
    <w:rsid w:val="23E970C3"/>
    <w:rsid w:val="23F463DA"/>
    <w:rsid w:val="24AA36A4"/>
    <w:rsid w:val="26163D37"/>
    <w:rsid w:val="265C6E6C"/>
    <w:rsid w:val="26C367DC"/>
    <w:rsid w:val="270D1AAA"/>
    <w:rsid w:val="27197328"/>
    <w:rsid w:val="277747D6"/>
    <w:rsid w:val="27CF6883"/>
    <w:rsid w:val="280D2174"/>
    <w:rsid w:val="2850716C"/>
    <w:rsid w:val="28897B1D"/>
    <w:rsid w:val="2A600EF1"/>
    <w:rsid w:val="2B4E6607"/>
    <w:rsid w:val="2B5A02C7"/>
    <w:rsid w:val="2CC62D7F"/>
    <w:rsid w:val="2E272230"/>
    <w:rsid w:val="2EE60ABD"/>
    <w:rsid w:val="2F3C6754"/>
    <w:rsid w:val="2F976E84"/>
    <w:rsid w:val="2FFD0C2C"/>
    <w:rsid w:val="3005038E"/>
    <w:rsid w:val="30134708"/>
    <w:rsid w:val="30857B8E"/>
    <w:rsid w:val="30A47737"/>
    <w:rsid w:val="30EE724E"/>
    <w:rsid w:val="30FB07B1"/>
    <w:rsid w:val="322206BD"/>
    <w:rsid w:val="32AF3C29"/>
    <w:rsid w:val="33363C23"/>
    <w:rsid w:val="34102A3B"/>
    <w:rsid w:val="34104941"/>
    <w:rsid w:val="34251890"/>
    <w:rsid w:val="348F36D3"/>
    <w:rsid w:val="35A91386"/>
    <w:rsid w:val="3626544F"/>
    <w:rsid w:val="36FA7620"/>
    <w:rsid w:val="37414DB9"/>
    <w:rsid w:val="37840415"/>
    <w:rsid w:val="37D13087"/>
    <w:rsid w:val="38A62FB9"/>
    <w:rsid w:val="38D610EC"/>
    <w:rsid w:val="396A2A41"/>
    <w:rsid w:val="39746665"/>
    <w:rsid w:val="39802F95"/>
    <w:rsid w:val="39991BC9"/>
    <w:rsid w:val="3A101CF2"/>
    <w:rsid w:val="3A3C5986"/>
    <w:rsid w:val="3A5E515C"/>
    <w:rsid w:val="3B7B4C74"/>
    <w:rsid w:val="3BB97BD2"/>
    <w:rsid w:val="3BF2408F"/>
    <w:rsid w:val="3C15689A"/>
    <w:rsid w:val="3D497A4B"/>
    <w:rsid w:val="3D5B1C4C"/>
    <w:rsid w:val="3DFD733E"/>
    <w:rsid w:val="3E010C00"/>
    <w:rsid w:val="3E565100"/>
    <w:rsid w:val="3E5C2876"/>
    <w:rsid w:val="3E86566C"/>
    <w:rsid w:val="3EF13527"/>
    <w:rsid w:val="3F8C01C8"/>
    <w:rsid w:val="3F8D0CB9"/>
    <w:rsid w:val="3FB27CC7"/>
    <w:rsid w:val="3FF15498"/>
    <w:rsid w:val="40011F6D"/>
    <w:rsid w:val="40124ED7"/>
    <w:rsid w:val="40F87FC5"/>
    <w:rsid w:val="422F3354"/>
    <w:rsid w:val="43F662FA"/>
    <w:rsid w:val="443F1BB3"/>
    <w:rsid w:val="450F438F"/>
    <w:rsid w:val="466C2A27"/>
    <w:rsid w:val="468961D4"/>
    <w:rsid w:val="46C969C2"/>
    <w:rsid w:val="46FF2E03"/>
    <w:rsid w:val="48B75566"/>
    <w:rsid w:val="48C64BE4"/>
    <w:rsid w:val="49485159"/>
    <w:rsid w:val="499B1BE4"/>
    <w:rsid w:val="49FC7EF0"/>
    <w:rsid w:val="4A9D5EDC"/>
    <w:rsid w:val="4AD51FDD"/>
    <w:rsid w:val="4B8723CE"/>
    <w:rsid w:val="4DE822D1"/>
    <w:rsid w:val="4E79232F"/>
    <w:rsid w:val="4ED44E11"/>
    <w:rsid w:val="4EF62B91"/>
    <w:rsid w:val="4F242750"/>
    <w:rsid w:val="4F2C399A"/>
    <w:rsid w:val="4FCA420A"/>
    <w:rsid w:val="50503CE2"/>
    <w:rsid w:val="50DF5D6D"/>
    <w:rsid w:val="51025D70"/>
    <w:rsid w:val="511A588D"/>
    <w:rsid w:val="51446E81"/>
    <w:rsid w:val="51FA0CDE"/>
    <w:rsid w:val="524048F3"/>
    <w:rsid w:val="532203A7"/>
    <w:rsid w:val="547C1E12"/>
    <w:rsid w:val="54D66C95"/>
    <w:rsid w:val="54FF14D0"/>
    <w:rsid w:val="57015BDA"/>
    <w:rsid w:val="57151C6F"/>
    <w:rsid w:val="580B3C20"/>
    <w:rsid w:val="593408F9"/>
    <w:rsid w:val="59B30FFA"/>
    <w:rsid w:val="59E6139F"/>
    <w:rsid w:val="59F97153"/>
    <w:rsid w:val="5A144221"/>
    <w:rsid w:val="5A2B6702"/>
    <w:rsid w:val="5A9832A8"/>
    <w:rsid w:val="5AB12DB5"/>
    <w:rsid w:val="5ADB5D0F"/>
    <w:rsid w:val="5B53565C"/>
    <w:rsid w:val="5B887FB8"/>
    <w:rsid w:val="5BA10228"/>
    <w:rsid w:val="5BEA6D99"/>
    <w:rsid w:val="5C1745E6"/>
    <w:rsid w:val="5C547C2C"/>
    <w:rsid w:val="5C7B303F"/>
    <w:rsid w:val="5D9B5DF2"/>
    <w:rsid w:val="5DEF653C"/>
    <w:rsid w:val="5E302CEA"/>
    <w:rsid w:val="5FCC3E4D"/>
    <w:rsid w:val="6089441C"/>
    <w:rsid w:val="609E5361"/>
    <w:rsid w:val="6108456B"/>
    <w:rsid w:val="6217496F"/>
    <w:rsid w:val="62175EC5"/>
    <w:rsid w:val="62252BFF"/>
    <w:rsid w:val="623768F4"/>
    <w:rsid w:val="62601E09"/>
    <w:rsid w:val="62846FE3"/>
    <w:rsid w:val="629D01D9"/>
    <w:rsid w:val="629D0CA3"/>
    <w:rsid w:val="631B73DD"/>
    <w:rsid w:val="632059EB"/>
    <w:rsid w:val="636F53BE"/>
    <w:rsid w:val="639864D8"/>
    <w:rsid w:val="640654C0"/>
    <w:rsid w:val="6489050B"/>
    <w:rsid w:val="655233AB"/>
    <w:rsid w:val="65860006"/>
    <w:rsid w:val="65BD4864"/>
    <w:rsid w:val="66627C83"/>
    <w:rsid w:val="66CE559A"/>
    <w:rsid w:val="67E0332D"/>
    <w:rsid w:val="68495AA9"/>
    <w:rsid w:val="684E7F61"/>
    <w:rsid w:val="685600C9"/>
    <w:rsid w:val="685D665F"/>
    <w:rsid w:val="68673DA7"/>
    <w:rsid w:val="68CC26C0"/>
    <w:rsid w:val="69A4686C"/>
    <w:rsid w:val="69F529A4"/>
    <w:rsid w:val="6AC70B05"/>
    <w:rsid w:val="6ADF2E7E"/>
    <w:rsid w:val="6B061DA1"/>
    <w:rsid w:val="6BE650E7"/>
    <w:rsid w:val="6C3A4554"/>
    <w:rsid w:val="6C6932AB"/>
    <w:rsid w:val="6C7D7792"/>
    <w:rsid w:val="6E7246F1"/>
    <w:rsid w:val="6F544F7A"/>
    <w:rsid w:val="6FCD4312"/>
    <w:rsid w:val="700E57CB"/>
    <w:rsid w:val="70C61340"/>
    <w:rsid w:val="710C5879"/>
    <w:rsid w:val="715647DF"/>
    <w:rsid w:val="715B201D"/>
    <w:rsid w:val="720A3495"/>
    <w:rsid w:val="722A75C1"/>
    <w:rsid w:val="729F6EED"/>
    <w:rsid w:val="739D4FF3"/>
    <w:rsid w:val="73A052C7"/>
    <w:rsid w:val="754262BE"/>
    <w:rsid w:val="762077FA"/>
    <w:rsid w:val="764B3E71"/>
    <w:rsid w:val="766D7CC7"/>
    <w:rsid w:val="769137E5"/>
    <w:rsid w:val="76D16A3A"/>
    <w:rsid w:val="771F3AEC"/>
    <w:rsid w:val="775453E0"/>
    <w:rsid w:val="778914AF"/>
    <w:rsid w:val="77B12EFB"/>
    <w:rsid w:val="77E2651B"/>
    <w:rsid w:val="78683939"/>
    <w:rsid w:val="7878333E"/>
    <w:rsid w:val="793C64B5"/>
    <w:rsid w:val="795704F3"/>
    <w:rsid w:val="79B01370"/>
    <w:rsid w:val="7A6D6DFE"/>
    <w:rsid w:val="7B553824"/>
    <w:rsid w:val="7B5D3AF0"/>
    <w:rsid w:val="7BAE0584"/>
    <w:rsid w:val="7BAE4C14"/>
    <w:rsid w:val="7BE66359"/>
    <w:rsid w:val="7BFD226A"/>
    <w:rsid w:val="7C0C6C98"/>
    <w:rsid w:val="7C7F0B82"/>
    <w:rsid w:val="7C8E38C1"/>
    <w:rsid w:val="7CFE4AD2"/>
    <w:rsid w:val="7DBE4419"/>
    <w:rsid w:val="7FE02E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toc 1"/>
    <w:basedOn w:val="1"/>
    <w:next w:val="1"/>
    <w:qFormat/>
    <w:uiPriority w:val="39"/>
    <w:pPr>
      <w:tabs>
        <w:tab w:val="right" w:leader="dot" w:pos="8630"/>
      </w:tabs>
      <w:jc w:val="center"/>
    </w:pPr>
    <w:rPr>
      <w:rFonts w:ascii="宋体" w:hAnsi="宋体" w:eastAsia="宋体"/>
      <w:sz w:val="28"/>
      <w:szCs w:val="28"/>
    </w:rPr>
  </w:style>
  <w:style w:type="paragraph" w:styleId="5">
    <w:name w:val="toc 2"/>
    <w:basedOn w:val="1"/>
    <w:next w:val="1"/>
    <w:qFormat/>
    <w:uiPriority w:val="39"/>
    <w:pPr>
      <w:ind w:left="420" w:leftChars="200"/>
    </w:pPr>
  </w:style>
  <w:style w:type="paragraph" w:customStyle="1" w:styleId="8">
    <w:name w:val="落款"/>
    <w:basedOn w:val="1"/>
    <w:qFormat/>
    <w:uiPriority w:val="99"/>
    <w:pPr>
      <w:tabs>
        <w:tab w:val="center" w:pos="6237"/>
      </w:tabs>
      <w:adjustRightInd w:val="0"/>
    </w:pPr>
    <w:rPr>
      <w:rFonts w:ascii="Times New Roman" w:hAnsi="Times New Roman" w:eastAsia="仿宋_GB2312"/>
      <w:sz w:val="32"/>
      <w:szCs w:val="20"/>
    </w:rPr>
  </w:style>
  <w:style w:type="paragraph" w:customStyle="1" w:styleId="9">
    <w:name w:val="No Spacing1"/>
    <w:qFormat/>
    <w:uiPriority w:val="0"/>
    <w:pPr>
      <w:widowControl w:val="0"/>
      <w:jc w:val="both"/>
    </w:pPr>
    <w:rPr>
      <w:rFonts w:ascii="Calibri" w:hAnsi="Calibri"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44431</Words>
  <Characters>45722</Characters>
  <Lines>0</Lines>
  <Paragraphs>0</Paragraphs>
  <TotalTime>3</TotalTime>
  <ScaleCrop>false</ScaleCrop>
  <LinksUpToDate>false</LinksUpToDate>
  <CharactersWithSpaces>46149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2021-06-23T08:24:00Z</dcterms:created>
  <dc:creator>高艳丽</dc:creator>
  <cp:lastModifiedBy>人比针瘦</cp:lastModifiedBy>
  <dcterms:modified xsi:type="dcterms:W3CDTF">2022-05-11T05:51:29Z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ABA514A9F61E448F977D9B7CFE2BE328</vt:lpwstr>
  </property>
</Properties>
</file>