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-US" w:eastAsia="zh-CN"/>
        </w:rPr>
        <w:t>呼兰区水务局</w:t>
      </w: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2023年度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法治政府建设情况报告</w:t>
      </w:r>
      <w:r>
        <w:rPr>
          <w:rFonts w:ascii="方正小标宋简体" w:hAnsi="宋体" w:eastAsia="方正小标宋简体"/>
          <w:color w:val="000000"/>
          <w:sz w:val="44"/>
        </w:rPr>
        <w:t xml:space="preserve">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在区委区政府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正确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领导下，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我局坚持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学习宣传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贯彻党的二十大精神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和习近平总书记关于法治政府建设的重要指示精神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紧紧围绕省、市、区法治政府建设各项部署，按照依法行政，创建法治政府的总体目标，多措并举，狠抓落实，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扎实推进法治政府建设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各项工作有序开展，提升各项工作法治化、规范化水平。现将2023年度法治政府建设工作开展情况报告如下：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一、2023年度推进法治政府建设的主要举措和成效；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优化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政府机构职能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按照省、市、区工作要求，以创新监管保障廉洁执法，以优化服务促进政务清廉，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优化营商环境、深入推进“放管服”改革，行政审批政务服务中心窗口办理事项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项，共受理行政许可审批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申请17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宗，办结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宗，网上办理率和办结率均为100%。深化政务服务“一网通办”改革，全面推行“网上办、掌上办、马上办”， 实现“不见面”审批，降低企业、群众办事难度，服务对象满意率100%。推动“互联网+监管”平台事项认领常态化，做到应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录入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率达100%。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实行“双随机、一公开”监管全覆盖，实现监管全过程“留痕”，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规范录入“双公示”企业平台信息，确保公示事项信息及时、准确、合法、无遗漏。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实行行政清单管理，建立规范行政权力责任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，提高政务服务效能，优化法治化营商环境。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（二）</w:t>
      </w:r>
      <w:r>
        <w:rPr>
          <w:rFonts w:hint="default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val="en-US" w:eastAsia="zh-CN"/>
        </w:rPr>
        <w:t>完善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依法行政制度体系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在加快立法夯实基础上持续用力。加快推进重点领域立法，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启动《黑龙江省河道管理条例》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立法前期工作，确保法律制度规范严密、衔接有序、协调统一。在依法化解矛盾纠纷上聚焦发力。开展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沿江河流域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水事隐患矛盾纠纷集中排查化解活动，维护良好水事秩序；深化行政复议体制改革，做好行政诉讼工作；筑牢信访维稳防线，精准推进诉访分离，坚持依法分类处理，及时调整分类处理清单。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（三）</w:t>
      </w:r>
      <w:r>
        <w:rPr>
          <w:rFonts w:hint="default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val="en-US" w:eastAsia="zh-CN"/>
        </w:rPr>
        <w:t>健全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行政决策制度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重大行政决策严格履行合法性审查和集体讨论决定，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落实重大行政决策程序，建立健全执法“三项制度”，全过程记录和材料归档制度。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（四）</w:t>
      </w:r>
      <w:r>
        <w:rPr>
          <w:rFonts w:hint="default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val="en-US" w:eastAsia="zh-CN"/>
        </w:rPr>
        <w:t>严格推进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行政执法工作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利用各类法制宣传月、宣传周、宣传日和12.4国家宪法日等特殊时间节点，组织执法人员上街进行法制宣传。广泛宣传本部门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本单位执行的法律法规，引导和帮助群众学习相关法律知识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利用“世界水日”“中国水周”重要节日开展普法。“3·22世界水日”“中国水周”期间，区水务局利用电子大屏幕，各基层单位利用深入沿江河巡查工作时间对群众进行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法律法规宣传，让更多群众了解法治建设同大家细细相关，让法律知识更深入的走入群众中。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全年出动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巡查河道1760公里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，立案处罚一般程序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不予处罚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（五）</w:t>
      </w:r>
      <w:r>
        <w:rPr>
          <w:rFonts w:hint="default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val="en-US" w:eastAsia="zh-CN"/>
        </w:rPr>
        <w:t>加强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应急管理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val="en-US" w:eastAsia="zh-CN"/>
        </w:rPr>
        <w:t>法治保障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首先，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要针对日常应急管理中暴露出的短板和不足，从各环节发力，并加强各个环节间的有序衔接，筑牢依法治理的根基。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其次，要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加强紧急法治与常态法治的有效衔接，对危机治理全过程的法治化问题进行系统谋划，不断提升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在处置突发事件中的依法决策、依法行政水平。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楷体_GB2312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（六）依法有效化解社会矛盾纠纷。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局班子成员多次在全局干部职工会议上强调信访维稳工作的重要性，同时明确责任领导和责任人，在规定时限内完成信访案件。截至目前，已完成信访件2件，群众满意度达到100%。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（七）</w:t>
      </w:r>
      <w:r>
        <w:rPr>
          <w:rFonts w:hint="default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val="en-US" w:eastAsia="zh-CN"/>
        </w:rPr>
        <w:t>规范对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</w:rPr>
        <w:t>行政权力制约和监督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贯彻落实《哈尔滨市社会信用体系建设促进条例》，建立健全政府守信践诺机制，召开守信激励、失信惩戒专题会议，成立工作领导小组，组织相关工作人员对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水资源、河道采砂、水土保持、水利工程建设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进行督查</w:t>
      </w:r>
      <w:r>
        <w:rPr>
          <w:rStyle w:val="6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监管全过程“留痕”规范透明。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  <w:lang w:eastAsia="zh-CN"/>
        </w:rPr>
        <w:t>（八）</w:t>
      </w:r>
      <w:r>
        <w:rPr>
          <w:rFonts w:hint="default" w:ascii="楷体_GB2312" w:eastAsia="楷体_GB2312"/>
          <w:b/>
          <w:bCs/>
          <w:color w:val="auto"/>
          <w:sz w:val="32"/>
          <w:szCs w:val="32"/>
          <w:lang w:val="en-US" w:eastAsia="zh-CN"/>
        </w:rPr>
        <w:t>持续推进数字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eastAsia="zh-CN"/>
        </w:rPr>
        <w:t>法治政府建设。</w:t>
      </w:r>
      <w:r>
        <w:rPr>
          <w:rStyle w:val="6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全面推进数字政府改革建设，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加强信息化平台管理，实现政务信息联通共享，推进“互联网+”监管平台执法建设，实现信息共享，积极推进智慧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执法，加强信息化技术，配备执法车辆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辆、执法记录仪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  <w:lang w:eastAsia="zh-CN"/>
        </w:rPr>
        <w:t>（九）</w:t>
      </w:r>
      <w:r>
        <w:rPr>
          <w:rFonts w:hint="default" w:ascii="楷体_GB2312" w:eastAsia="楷体_GB2312"/>
          <w:b/>
          <w:bCs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eastAsia="zh-CN"/>
        </w:rPr>
        <w:t>法治政府建设推进机制。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善法治政府建设考核机制，依托“互联网+监管”系统、行政执法综合管理监督平台，坚持将法治政府建设情况纳入政府年度目标管理绩效考核，纳入领导班子和领导干部综合考核,形成系统高效的法治政府建设督察工作机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Chars="20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二、2023年度推进法治政府建设存在的不足和原因；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干部职工法制学习教育仍需加强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工作涉及面较广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工作性质复杂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，法律法规和政策文件多，学习教育还做得不够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ascii="微软雅黑" w:hAnsi="微软雅黑" w:eastAsia="微软雅黑"/>
          <w:color w:val="52535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（二）行政执法能力有待加强。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行政执法任务繁多，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执法人员配备及能力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水平需加强。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法治宣传普法效果有待提高。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受疫情防控影响，线下普法受到一定限制，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水务生态建设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发展不平衡等状况，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影响普法深入，制约普法效果。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Chars="20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三、2023年度党政主要负责人履行推进法治建设第一责任人职责，加强法治政府建设的有关情况；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严格贯彻落实党政主要负责人履行推进法治建设第一责任人职责，做到领导带头学法用法普法，将法治政府建设纳入局理论学习中心组、机关各党支部主题党日活动内容，依法行政履职能力得到较大提高。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完善《行政执法责任管理制度》、《河湖日常巡查监管制度》、《行政执法监督管理制度》等相关规章制度，推动我区水行政执法工作的开展，为依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法行政、依法治区奠定基础。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Chars="20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四、2024年度推进法治政府建设的主要安排；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(一)提高依法行政意识和能力。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健全集体学法制度，落实领导干部带头学法用法，切实履行第一责任人职责，定期对干部职工进行法律法规培训，加强执法案卷评查和以案释法，切实增强法制观念，提高依法行政履职能力。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加大普法宣传及增强普法效果。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着重加大针对广大群众的普法宣传力度，线上线下相结合，让群众听得懂、学得明、用得上，真正将普法效果落到实处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进一步加强社会信用监管体系建设。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健全信用评价、信用承诺等制度，完善经营异常名录和“黑名单”管理，建立信用监管体系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积极应用省信用信息公共服务平台，促进信用信息的归集、管理、共享和应用，推进守信联合激励、失信联合惩戒。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 加强和完善执法制度建设。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加强规范性文件监督管理，严格执行行政执法公示制度。加大对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河道采砂、水资源管理、水土保持建设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重点领域监管处罚力度，积极推动监管信息数字化建设，有效提升监管能力，深化“放管服”改革，努力营造良好的执法氛围，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扎实推进法治政府建设，确保法治政府建设各项工作落到实处。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哈尔滨市呼兰区水务局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 xml:space="preserve">                               2024年1月23日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jdlNTM5NDNjYTQ5Y2M1ZDRiMDUzM2I0MDI5OTgifQ=="/>
  </w:docVars>
  <w:rsids>
    <w:rsidRoot w:val="1E7275E0"/>
    <w:rsid w:val="074958E1"/>
    <w:rsid w:val="07CD02C0"/>
    <w:rsid w:val="1E7275E0"/>
    <w:rsid w:val="20220C48"/>
    <w:rsid w:val="286E4D4F"/>
    <w:rsid w:val="42707BEA"/>
    <w:rsid w:val="4550785F"/>
    <w:rsid w:val="560501F2"/>
    <w:rsid w:val="58044C05"/>
    <w:rsid w:val="60EC4488"/>
    <w:rsid w:val="67297EA1"/>
    <w:rsid w:val="6940785A"/>
    <w:rsid w:val="6B9145AA"/>
    <w:rsid w:val="72127AC6"/>
    <w:rsid w:val="727D1FCB"/>
    <w:rsid w:val="74CA4688"/>
    <w:rsid w:val="75F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2024-01-22T01:35:00Z</dcterms:created>
  <dc:creator>Administrator</dc:creator>
  <cp:lastModifiedBy>lenovo</cp:lastModifiedBy>
  <dcterms:modified xsi:type="dcterms:W3CDTF">2024-02-19T02:45:55Z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12DE91F0EEAE4D0A9361601E08EFF295_11</vt:lpwstr>
  </property>
</Properties>
</file>