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color w:val="000000"/>
          <w:sz w:val="44"/>
          <w:szCs w:val="44"/>
          <w:lang w:eastAsia="zh-CN"/>
        </w:rPr>
      </w:pPr>
      <w:r>
        <w:rPr>
          <w:rFonts w:hint="eastAsia" w:ascii="方正小标宋简体" w:hAnsi="宋体" w:eastAsia="方正小标宋简体" w:cs="Times New Roman"/>
          <w:color w:val="000000"/>
          <w:sz w:val="44"/>
          <w:szCs w:val="44"/>
          <w:lang w:eastAsia="zh-CN"/>
        </w:rPr>
        <w:t>呼兰区教育局2023年法治政府建设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微软雅黑" w:hAnsi="微软雅黑" w:eastAsia="微软雅黑" w:cs="宋体"/>
          <w:b/>
          <w:bCs/>
          <w:color w:val="000000"/>
          <w:kern w:val="0"/>
          <w:sz w:val="32"/>
          <w:szCs w:val="32"/>
        </w:rPr>
      </w:pPr>
      <w:r>
        <w:rPr>
          <w:rFonts w:hint="eastAsia" w:ascii="方正小标宋简体" w:hAnsi="宋体" w:eastAsia="方正小标宋简体" w:cs="Times New Roman"/>
          <w:color w:val="000000"/>
          <w:sz w:val="44"/>
          <w:szCs w:val="44"/>
          <w:lang w:eastAsia="zh-CN"/>
        </w:rPr>
        <w:t>年度报告</w:t>
      </w:r>
    </w:p>
    <w:p>
      <w:pPr>
        <w:keepNext w:val="0"/>
        <w:keepLines w:val="0"/>
        <w:pageBreakBefore w:val="0"/>
        <w:widowControl/>
        <w:shd w:val="clear" w:color="auto" w:fill="FFFFFF"/>
        <w:kinsoku/>
        <w:overflowPunct/>
        <w:topLinePunct w:val="0"/>
        <w:autoSpaceDN/>
        <w:bidi w:val="0"/>
        <w:adjustRightInd/>
        <w:snapToGrid/>
        <w:spacing w:line="680" w:lineRule="exact"/>
        <w:jc w:val="left"/>
        <w:textAlignment w:val="auto"/>
        <w:outlineLvl w:val="3"/>
        <w:rPr>
          <w:rFonts w:ascii="仿宋_GB2312" w:hAnsi="Helvetica" w:eastAsia="仿宋_GB2312" w:cs="Helvetica"/>
          <w:color w:val="42413C"/>
          <w:kern w:val="0"/>
          <w:sz w:val="32"/>
          <w:szCs w:val="32"/>
        </w:rPr>
      </w:pPr>
      <w:r>
        <w:rPr>
          <w:rFonts w:hint="eastAsia" w:ascii="仿宋_GB2312" w:hAnsi="Helvetica" w:eastAsia="仿宋_GB2312" w:cs="Helvetica"/>
          <w:color w:val="42413C"/>
          <w:kern w:val="0"/>
          <w:sz w:val="32"/>
          <w:szCs w:val="32"/>
        </w:rPr>
        <w:t>区政府：</w:t>
      </w:r>
    </w:p>
    <w:p>
      <w:pPr>
        <w:keepNext w:val="0"/>
        <w:keepLines w:val="0"/>
        <w:pageBreakBefore w:val="0"/>
        <w:widowControl/>
        <w:shd w:val="clear" w:color="auto" w:fill="FFFFFF"/>
        <w:kinsoku/>
        <w:overflowPunct/>
        <w:topLinePunct w:val="0"/>
        <w:autoSpaceDN/>
        <w:bidi w:val="0"/>
        <w:adjustRightInd/>
        <w:snapToGrid/>
        <w:spacing w:line="680" w:lineRule="exact"/>
        <w:ind w:firstLine="640" w:firstLineChars="200"/>
        <w:jc w:val="left"/>
        <w:textAlignment w:val="auto"/>
        <w:outlineLvl w:val="3"/>
        <w:rPr>
          <w:rFonts w:ascii="仿宋_GB2312" w:hAnsi="Helvetica" w:eastAsia="仿宋_GB2312" w:cs="Helvetica"/>
          <w:color w:val="42413C"/>
          <w:kern w:val="0"/>
          <w:sz w:val="32"/>
          <w:szCs w:val="32"/>
        </w:rPr>
      </w:pPr>
      <w:r>
        <w:rPr>
          <w:rFonts w:hint="eastAsia" w:ascii="仿宋_GB2312" w:hAnsi="Helvetica" w:eastAsia="仿宋_GB2312" w:cs="Helvetica"/>
          <w:color w:val="42413C"/>
          <w:kern w:val="0"/>
          <w:sz w:val="32"/>
          <w:szCs w:val="32"/>
        </w:rPr>
        <w:t>2023年，区教育局在区委、区政府的正确领导下，以习近平法治思想为指导，深入贯彻落实党的二十大精神，以法治引领教育行政管理和学校内部治理的全过程和各个环节，全面推进教育治理体系和治理能力现代化</w:t>
      </w:r>
      <w:r>
        <w:rPr>
          <w:rFonts w:hint="eastAsia" w:ascii="仿宋_GB2312" w:hAnsi="Helvetica" w:eastAsia="仿宋_GB2312" w:cs="Helvetica"/>
          <w:color w:val="42413C"/>
          <w:kern w:val="0"/>
          <w:sz w:val="32"/>
          <w:szCs w:val="32"/>
          <w:lang w:eastAsia="zh-CN"/>
        </w:rPr>
        <w:t>进程</w:t>
      </w:r>
      <w:r>
        <w:rPr>
          <w:rFonts w:hint="eastAsia" w:ascii="仿宋_GB2312" w:hAnsi="Helvetica" w:eastAsia="仿宋_GB2312" w:cs="Helvetica"/>
          <w:color w:val="42413C"/>
          <w:kern w:val="0"/>
          <w:sz w:val="32"/>
          <w:szCs w:val="32"/>
        </w:rPr>
        <w:t>，为我区教育事业发展提供了有力的支撑和保障。现将我局202</w:t>
      </w:r>
      <w:r>
        <w:rPr>
          <w:rFonts w:hint="eastAsia" w:ascii="仿宋_GB2312" w:hAnsi="Helvetica" w:eastAsia="仿宋_GB2312" w:cs="Helvetica"/>
          <w:color w:val="42413C"/>
          <w:kern w:val="0"/>
          <w:sz w:val="32"/>
          <w:szCs w:val="32"/>
          <w:lang w:val="en-US" w:eastAsia="zh-CN"/>
        </w:rPr>
        <w:t>3</w:t>
      </w:r>
      <w:r>
        <w:rPr>
          <w:rFonts w:hint="eastAsia" w:ascii="仿宋_GB2312" w:hAnsi="Helvetica" w:eastAsia="仿宋_GB2312" w:cs="Helvetica"/>
          <w:color w:val="42413C"/>
          <w:kern w:val="0"/>
          <w:sz w:val="32"/>
          <w:szCs w:val="32"/>
        </w:rPr>
        <w:t>年法治政府建设情况报告如下：</w:t>
      </w:r>
    </w:p>
    <w:p>
      <w:pPr>
        <w:keepNext w:val="0"/>
        <w:keepLines w:val="0"/>
        <w:pageBreakBefore w:val="0"/>
        <w:kinsoku/>
        <w:overflowPunct/>
        <w:topLinePunct w:val="0"/>
        <w:autoSpaceDE w:val="0"/>
        <w:autoSpaceDN/>
        <w:bidi w:val="0"/>
        <w:adjustRightInd/>
        <w:snapToGrid/>
        <w:spacing w:line="68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一、2023年度推进法治政府建设的主要举措和成效</w:t>
      </w:r>
    </w:p>
    <w:p>
      <w:pPr>
        <w:keepNext w:val="0"/>
        <w:keepLines w:val="0"/>
        <w:pageBreakBefore w:val="0"/>
        <w:kinsoku/>
        <w:overflowPunct/>
        <w:topLinePunct w:val="0"/>
        <w:autoSpaceDE w:val="0"/>
        <w:autoSpaceDN/>
        <w:bidi w:val="0"/>
        <w:adjustRightInd/>
        <w:snapToGrid/>
        <w:spacing w:line="680" w:lineRule="exact"/>
        <w:ind w:firstLine="640" w:firstLineChars="200"/>
        <w:textAlignment w:val="auto"/>
        <w:rPr>
          <w:rFonts w:ascii="仿宋_GB2312" w:hAnsi="仿宋_GB2312" w:eastAsia="仿宋_GB2312" w:cs="仿宋_GB2312"/>
          <w:sz w:val="32"/>
          <w:szCs w:val="32"/>
        </w:rPr>
      </w:pPr>
      <w:r>
        <w:rPr>
          <w:rFonts w:hint="eastAsia" w:ascii="楷体_GB2312" w:eastAsia="楷体_GB2312"/>
          <w:sz w:val="32"/>
          <w:szCs w:val="32"/>
        </w:rPr>
        <w:t>（一）</w:t>
      </w:r>
      <w:r>
        <w:rPr>
          <w:rFonts w:hint="eastAsia" w:ascii="楷体_GB2312" w:eastAsia="楷体_GB2312"/>
          <w:color w:val="auto"/>
          <w:sz w:val="32"/>
          <w:szCs w:val="32"/>
          <w:lang w:eastAsia="zh-CN"/>
        </w:rPr>
        <w:t>优化</w:t>
      </w:r>
      <w:r>
        <w:rPr>
          <w:rFonts w:hint="eastAsia" w:ascii="楷体_GB2312" w:hAnsi="Times New Roman" w:eastAsia="楷体_GB2312" w:cs="Times New Roman"/>
          <w:color w:val="auto"/>
          <w:sz w:val="32"/>
          <w:szCs w:val="32"/>
          <w:u w:val="none"/>
        </w:rPr>
        <w:t>政府机构职能</w:t>
      </w:r>
    </w:p>
    <w:p>
      <w:pPr>
        <w:keepNext w:val="0"/>
        <w:keepLines w:val="0"/>
        <w:pageBreakBefore w:val="0"/>
        <w:widowControl/>
        <w:shd w:val="clear" w:color="auto" w:fill="FFFFFF"/>
        <w:kinsoku/>
        <w:overflowPunct/>
        <w:topLinePunct w:val="0"/>
        <w:autoSpaceDN/>
        <w:bidi w:val="0"/>
        <w:adjustRightInd/>
        <w:snapToGrid/>
        <w:spacing w:line="680" w:lineRule="exact"/>
        <w:ind w:firstLine="640" w:firstLineChars="200"/>
        <w:jc w:val="left"/>
        <w:textAlignment w:val="auto"/>
        <w:outlineLvl w:val="3"/>
        <w:rPr>
          <w:rFonts w:ascii="仿宋_GB2312" w:hAnsi="Helvetica" w:eastAsia="仿宋_GB2312" w:cs="Helvetica"/>
          <w:color w:val="42413C"/>
          <w:kern w:val="0"/>
          <w:sz w:val="32"/>
          <w:szCs w:val="32"/>
        </w:rPr>
      </w:pPr>
      <w:r>
        <w:rPr>
          <w:rFonts w:hint="eastAsia" w:ascii="仿宋_GB2312" w:hAnsi="Helvetica" w:eastAsia="仿宋_GB2312" w:cs="Helvetica"/>
          <w:color w:val="42413C"/>
          <w:kern w:val="0"/>
          <w:sz w:val="32"/>
          <w:szCs w:val="32"/>
        </w:rPr>
        <w:t>建立以局党组书记、局长为组长的区教育局法治建设工作领导小组，定期研究教育系统法治建设工作中遇到的困难和问题，统筹推进教育系统依法行政工作深入开展，抓实抓好执法和普法工作责任制落实。深化教育领域综合改革，依法治教、依法行政，营造良好教育发展环境</w:t>
      </w:r>
      <w:r>
        <w:rPr>
          <w:rFonts w:ascii="仿宋_GB2312" w:hAnsi="Helvetica" w:eastAsia="仿宋_GB2312" w:cs="Helvetica"/>
          <w:color w:val="42413C"/>
          <w:kern w:val="0"/>
          <w:sz w:val="32"/>
          <w:szCs w:val="32"/>
        </w:rPr>
        <w:t>,促进各级各类教育协调发展。</w:t>
      </w:r>
    </w:p>
    <w:p>
      <w:pPr>
        <w:keepNext w:val="0"/>
        <w:keepLines w:val="0"/>
        <w:pageBreakBefore w:val="0"/>
        <w:kinsoku/>
        <w:overflowPunct/>
        <w:topLinePunct w:val="0"/>
        <w:autoSpaceDN/>
        <w:bidi w:val="0"/>
        <w:adjustRightInd/>
        <w:snapToGrid/>
        <w:spacing w:line="68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w:t>
      </w:r>
      <w:r>
        <w:rPr>
          <w:rFonts w:hint="default" w:ascii="楷体_GB2312" w:hAnsi="Times New Roman" w:eastAsia="楷体_GB2312" w:cs="Times New Roman"/>
          <w:color w:val="auto"/>
          <w:sz w:val="32"/>
          <w:szCs w:val="32"/>
          <w:u w:val="none"/>
          <w:lang w:val="en-US" w:eastAsia="zh-CN"/>
        </w:rPr>
        <w:t>完善</w:t>
      </w:r>
      <w:r>
        <w:rPr>
          <w:rFonts w:hint="eastAsia" w:ascii="楷体_GB2312" w:hAnsi="Times New Roman" w:eastAsia="楷体_GB2312" w:cs="Times New Roman"/>
          <w:color w:val="auto"/>
          <w:sz w:val="32"/>
          <w:szCs w:val="32"/>
          <w:u w:val="none"/>
        </w:rPr>
        <w:t>依法行政制度体</w:t>
      </w:r>
      <w:r>
        <w:rPr>
          <w:rFonts w:hint="eastAsia" w:ascii="楷体_GB2312" w:hAnsi="Times New Roman" w:eastAsia="楷体_GB2312" w:cs="Times New Roman"/>
          <w:sz w:val="32"/>
          <w:szCs w:val="32"/>
        </w:rPr>
        <w:t>系</w:t>
      </w:r>
    </w:p>
    <w:p>
      <w:pPr>
        <w:keepNext w:val="0"/>
        <w:keepLines w:val="0"/>
        <w:pageBreakBefore w:val="0"/>
        <w:widowControl/>
        <w:shd w:val="clear" w:color="auto" w:fill="FFFFFF"/>
        <w:kinsoku/>
        <w:overflowPunct/>
        <w:topLinePunct w:val="0"/>
        <w:autoSpaceDN/>
        <w:bidi w:val="0"/>
        <w:adjustRightInd/>
        <w:snapToGrid/>
        <w:spacing w:line="680" w:lineRule="exact"/>
        <w:ind w:firstLine="640" w:firstLineChars="200"/>
        <w:jc w:val="left"/>
        <w:textAlignment w:val="auto"/>
        <w:outlineLvl w:val="3"/>
        <w:rPr>
          <w:rFonts w:ascii="仿宋_GB2312" w:hAnsi="Helvetica" w:eastAsia="仿宋_GB2312" w:cs="Helvetica"/>
          <w:color w:val="42413C"/>
          <w:kern w:val="0"/>
          <w:sz w:val="32"/>
          <w:szCs w:val="32"/>
        </w:rPr>
      </w:pPr>
      <w:r>
        <w:rPr>
          <w:rFonts w:hint="eastAsia" w:ascii="仿宋_GB2312" w:hAnsi="Helvetica" w:eastAsia="仿宋_GB2312" w:cs="Helvetica"/>
          <w:color w:val="42413C"/>
          <w:kern w:val="0"/>
          <w:sz w:val="32"/>
          <w:szCs w:val="32"/>
        </w:rPr>
        <w:t>区教育局依法落实党组理论中心组学习制度，局班子每季度至少开展一次集中学法活动，带头进行法治专题导学，开展廉政教育辅导，学党章党规，学党的理论，严明党的纪律和规矩，推进法治学习教育常态化制度化。局机关以相关科室、党小组为单位定期组织学法说法活动，把法律法规学习列入局机关学习计划，促进经常性学法不断深入。学校师生积极学法，通过自学、集体学习、中心组学习、讲座、邀请专家辅导等形式，学习《教育法》《教师法》《未成年人保护法》及新修订的《义务教育法》等法律法规，自觉提升依法行政、依法治教的工作能力。</w:t>
      </w:r>
    </w:p>
    <w:p>
      <w:pPr>
        <w:keepNext w:val="0"/>
        <w:keepLines w:val="0"/>
        <w:pageBreakBefore w:val="0"/>
        <w:kinsoku/>
        <w:overflowPunct/>
        <w:topLinePunct w:val="0"/>
        <w:autoSpaceDN/>
        <w:bidi w:val="0"/>
        <w:adjustRightInd/>
        <w:snapToGrid/>
        <w:spacing w:line="680" w:lineRule="exact"/>
        <w:ind w:firstLine="640" w:firstLineChars="200"/>
        <w:textAlignment w:val="auto"/>
        <w:rPr>
          <w:rFonts w:ascii="仿宋_GB2312" w:hAnsi="仿宋_GB2312" w:eastAsia="仿宋_GB2312" w:cs="仿宋_GB2312"/>
          <w:sz w:val="32"/>
          <w:szCs w:val="32"/>
        </w:rPr>
      </w:pPr>
      <w:r>
        <w:rPr>
          <w:rFonts w:hint="eastAsia" w:ascii="楷体_GB2312" w:hAnsi="Times New Roman" w:eastAsia="楷体_GB2312" w:cs="Times New Roman"/>
          <w:sz w:val="32"/>
          <w:szCs w:val="32"/>
        </w:rPr>
        <w:t>（三）</w:t>
      </w:r>
      <w:r>
        <w:rPr>
          <w:rFonts w:hint="default" w:ascii="楷体_GB2312" w:hAnsi="Times New Roman" w:eastAsia="楷体_GB2312" w:cs="Times New Roman"/>
          <w:color w:val="auto"/>
          <w:sz w:val="32"/>
          <w:szCs w:val="32"/>
          <w:u w:val="none"/>
          <w:lang w:val="en-US" w:eastAsia="zh-CN"/>
        </w:rPr>
        <w:t>健全</w:t>
      </w:r>
      <w:r>
        <w:rPr>
          <w:rFonts w:hint="eastAsia" w:ascii="楷体_GB2312" w:hAnsi="Times New Roman" w:eastAsia="楷体_GB2312" w:cs="Times New Roman"/>
          <w:color w:val="auto"/>
          <w:sz w:val="32"/>
          <w:szCs w:val="32"/>
          <w:u w:val="none"/>
        </w:rPr>
        <w:t>行政决策制度</w:t>
      </w:r>
      <w:r>
        <w:rPr>
          <w:rFonts w:hint="eastAsia" w:ascii="楷体_GB2312" w:hAnsi="Times New Roman" w:eastAsia="楷体_GB2312" w:cs="Times New Roman"/>
          <w:color w:val="auto"/>
          <w:sz w:val="32"/>
          <w:szCs w:val="32"/>
          <w:u w:val="none"/>
          <w:lang w:eastAsia="zh-CN"/>
        </w:rPr>
        <w:t>建设</w:t>
      </w:r>
    </w:p>
    <w:p>
      <w:pPr>
        <w:keepNext w:val="0"/>
        <w:keepLines w:val="0"/>
        <w:pageBreakBefore w:val="0"/>
        <w:widowControl/>
        <w:shd w:val="clear" w:color="auto" w:fill="FFFFFF"/>
        <w:kinsoku/>
        <w:overflowPunct/>
        <w:topLinePunct w:val="0"/>
        <w:autoSpaceDN/>
        <w:bidi w:val="0"/>
        <w:adjustRightInd/>
        <w:snapToGrid/>
        <w:spacing w:line="680" w:lineRule="exact"/>
        <w:ind w:firstLine="640" w:firstLineChars="200"/>
        <w:jc w:val="left"/>
        <w:textAlignment w:val="auto"/>
        <w:outlineLvl w:val="3"/>
        <w:rPr>
          <w:rFonts w:ascii="仿宋_GB2312" w:hAnsi="Helvetica" w:eastAsia="仿宋_GB2312" w:cs="Helvetica"/>
          <w:color w:val="42413C"/>
          <w:kern w:val="0"/>
          <w:sz w:val="32"/>
          <w:szCs w:val="32"/>
        </w:rPr>
      </w:pPr>
      <w:r>
        <w:rPr>
          <w:rFonts w:hint="eastAsia" w:ascii="仿宋_GB2312" w:hAnsi="Helvetica" w:eastAsia="仿宋_GB2312" w:cs="Helvetica"/>
          <w:color w:val="42413C"/>
          <w:kern w:val="0"/>
          <w:sz w:val="32"/>
          <w:szCs w:val="32"/>
        </w:rPr>
        <w:t>建立健全重大决策制度</w:t>
      </w:r>
      <w:r>
        <w:rPr>
          <w:rFonts w:hint="eastAsia" w:ascii="仿宋_GB2312" w:hAnsi="Helvetica" w:eastAsia="仿宋_GB2312" w:cs="Helvetica"/>
          <w:color w:val="42413C"/>
          <w:kern w:val="0"/>
          <w:sz w:val="32"/>
          <w:szCs w:val="32"/>
          <w:lang w:val="en-US" w:eastAsia="zh-CN"/>
        </w:rPr>
        <w:t>,</w:t>
      </w:r>
      <w:r>
        <w:rPr>
          <w:rFonts w:hint="eastAsia" w:ascii="仿宋_GB2312" w:hAnsi="Helvetica" w:eastAsia="仿宋_GB2312" w:cs="Helvetica"/>
          <w:color w:val="42413C"/>
          <w:kern w:val="0"/>
          <w:sz w:val="32"/>
          <w:szCs w:val="32"/>
        </w:rPr>
        <w:t>进一步建立和完善决策制度，着力提升教育重大行政决策的科学化、法治化水平，强化行政决策责任，减少行政决策失误，保证行政决策质量。根据上级部门要求，进一步完善了重大行政决策合法性审查制度，并严格按照合法性审查和集体讨论决定的决策程序实施重大行政决策，确保教育行政决策科学合法。规范开展行政决策工作</w:t>
      </w:r>
      <w:r>
        <w:rPr>
          <w:rFonts w:hint="eastAsia" w:ascii="仿宋_GB2312" w:hAnsi="Helvetica" w:eastAsia="仿宋_GB2312" w:cs="Helvetica"/>
          <w:color w:val="42413C"/>
          <w:kern w:val="0"/>
          <w:sz w:val="32"/>
          <w:szCs w:val="32"/>
          <w:lang w:val="en-US" w:eastAsia="zh-CN"/>
        </w:rPr>
        <w:t>,</w:t>
      </w:r>
      <w:r>
        <w:rPr>
          <w:rFonts w:hint="eastAsia" w:ascii="仿宋_GB2312" w:hAnsi="Helvetica" w:eastAsia="仿宋_GB2312" w:cs="Helvetica"/>
          <w:color w:val="42413C"/>
          <w:kern w:val="0"/>
          <w:sz w:val="32"/>
          <w:szCs w:val="32"/>
        </w:rPr>
        <w:t>建立依法、科学和民主的公众参与、专家论证和党组决定相统一的行政决策机制，及时发现问题和解决问题，确保政策真正落到实处。</w:t>
      </w:r>
    </w:p>
    <w:p>
      <w:pPr>
        <w:keepNext w:val="0"/>
        <w:keepLines w:val="0"/>
        <w:pageBreakBefore w:val="0"/>
        <w:kinsoku/>
        <w:overflowPunct/>
        <w:topLinePunct w:val="0"/>
        <w:autoSpaceDN/>
        <w:bidi w:val="0"/>
        <w:adjustRightInd/>
        <w:snapToGrid/>
        <w:spacing w:line="68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w:t>
      </w:r>
      <w:r>
        <w:rPr>
          <w:rFonts w:hint="default" w:ascii="楷体_GB2312" w:hAnsi="Times New Roman" w:eastAsia="楷体_GB2312" w:cs="Times New Roman"/>
          <w:color w:val="auto"/>
          <w:sz w:val="32"/>
          <w:szCs w:val="32"/>
          <w:u w:val="none"/>
          <w:lang w:val="en-US" w:eastAsia="zh-CN"/>
        </w:rPr>
        <w:t>严格推进</w:t>
      </w:r>
      <w:r>
        <w:rPr>
          <w:rFonts w:hint="eastAsia" w:ascii="楷体_GB2312" w:hAnsi="Times New Roman" w:eastAsia="楷体_GB2312" w:cs="Times New Roman"/>
          <w:color w:val="auto"/>
          <w:sz w:val="32"/>
          <w:szCs w:val="32"/>
          <w:u w:val="none"/>
        </w:rPr>
        <w:t>行政执法工作</w:t>
      </w:r>
    </w:p>
    <w:p>
      <w:pPr>
        <w:keepNext w:val="0"/>
        <w:keepLines w:val="0"/>
        <w:pageBreakBefore w:val="0"/>
        <w:widowControl/>
        <w:shd w:val="clear" w:color="auto" w:fill="FFFFFF"/>
        <w:kinsoku/>
        <w:overflowPunct/>
        <w:topLinePunct w:val="0"/>
        <w:autoSpaceDN/>
        <w:bidi w:val="0"/>
        <w:adjustRightInd/>
        <w:snapToGrid/>
        <w:spacing w:line="680" w:lineRule="exact"/>
        <w:ind w:firstLine="640" w:firstLineChars="200"/>
        <w:jc w:val="left"/>
        <w:textAlignment w:val="auto"/>
        <w:outlineLvl w:val="3"/>
        <w:rPr>
          <w:rFonts w:ascii="仿宋_GB2312" w:hAnsi="Helvetica" w:eastAsia="仿宋_GB2312" w:cs="Helvetica"/>
          <w:color w:val="42413C"/>
          <w:kern w:val="0"/>
          <w:sz w:val="32"/>
          <w:szCs w:val="32"/>
        </w:rPr>
      </w:pPr>
      <w:r>
        <w:rPr>
          <w:rFonts w:hint="eastAsia" w:ascii="仿宋_GB2312" w:hAnsi="Helvetica" w:eastAsia="仿宋_GB2312" w:cs="Helvetica"/>
          <w:color w:val="42413C"/>
          <w:kern w:val="0"/>
          <w:sz w:val="32"/>
          <w:szCs w:val="32"/>
        </w:rPr>
        <w:t>一是加强行政执法人员队伍建设。</w:t>
      </w:r>
      <w:r>
        <w:rPr>
          <w:rFonts w:hint="eastAsia" w:ascii="仿宋_GB2312" w:hAnsi="Helvetica" w:eastAsia="仿宋_GB2312" w:cs="Helvetica"/>
          <w:color w:val="42413C"/>
          <w:kern w:val="0"/>
          <w:sz w:val="32"/>
          <w:szCs w:val="32"/>
          <w:lang w:eastAsia="zh-CN"/>
        </w:rPr>
        <w:t>加强</w:t>
      </w:r>
      <w:r>
        <w:rPr>
          <w:rFonts w:ascii="仿宋_GB2312" w:hAnsi="Helvetica" w:eastAsia="仿宋_GB2312" w:cs="Helvetica"/>
          <w:color w:val="42413C"/>
          <w:kern w:val="0"/>
          <w:sz w:val="32"/>
          <w:szCs w:val="32"/>
        </w:rPr>
        <w:t>执法人员法律知识学习和培训，强化行政执法人员的法律意识、规则意识和法治观念，依法履行行政执法职责，</w:t>
      </w:r>
      <w:r>
        <w:rPr>
          <w:rFonts w:hint="eastAsia" w:ascii="仿宋_GB2312" w:hAnsi="Helvetica" w:eastAsia="仿宋_GB2312" w:cs="Helvetica"/>
          <w:color w:val="42413C"/>
          <w:kern w:val="0"/>
          <w:sz w:val="32"/>
          <w:szCs w:val="32"/>
          <w:lang w:eastAsia="zh-CN"/>
        </w:rPr>
        <w:t>规范</w:t>
      </w:r>
      <w:r>
        <w:rPr>
          <w:rFonts w:ascii="仿宋_GB2312" w:hAnsi="Helvetica" w:eastAsia="仿宋_GB2312" w:cs="Helvetica"/>
          <w:color w:val="42413C"/>
          <w:kern w:val="0"/>
          <w:sz w:val="32"/>
          <w:szCs w:val="32"/>
        </w:rPr>
        <w:t>行政执法行为。二是规范民办</w:t>
      </w:r>
      <w:r>
        <w:rPr>
          <w:rFonts w:hint="eastAsia" w:ascii="仿宋_GB2312" w:hAnsi="Helvetica" w:eastAsia="仿宋_GB2312" w:cs="Helvetica"/>
          <w:color w:val="42413C"/>
          <w:kern w:val="0"/>
          <w:sz w:val="32"/>
          <w:szCs w:val="32"/>
        </w:rPr>
        <w:t>幼儿园</w:t>
      </w:r>
      <w:r>
        <w:rPr>
          <w:rFonts w:ascii="仿宋_GB2312" w:hAnsi="Helvetica" w:eastAsia="仿宋_GB2312" w:cs="Helvetica"/>
          <w:color w:val="42413C"/>
          <w:kern w:val="0"/>
          <w:sz w:val="32"/>
          <w:szCs w:val="32"/>
        </w:rPr>
        <w:t>管理。规范开展民办</w:t>
      </w:r>
      <w:r>
        <w:rPr>
          <w:rFonts w:hint="eastAsia" w:ascii="仿宋_GB2312" w:hAnsi="Helvetica" w:eastAsia="仿宋_GB2312" w:cs="Helvetica"/>
          <w:color w:val="42413C"/>
          <w:kern w:val="0"/>
          <w:sz w:val="32"/>
          <w:szCs w:val="32"/>
        </w:rPr>
        <w:t>幼儿园</w:t>
      </w:r>
      <w:r>
        <w:rPr>
          <w:rFonts w:ascii="仿宋_GB2312" w:hAnsi="Helvetica" w:eastAsia="仿宋_GB2312" w:cs="Helvetica"/>
          <w:color w:val="42413C"/>
          <w:kern w:val="0"/>
          <w:sz w:val="32"/>
          <w:szCs w:val="32"/>
        </w:rPr>
        <w:t>、培训机构审批，落实民办学校年检制度</w:t>
      </w:r>
      <w:r>
        <w:rPr>
          <w:rFonts w:hint="eastAsia" w:ascii="仿宋_GB2312" w:hAnsi="Helvetica" w:eastAsia="仿宋_GB2312" w:cs="Helvetica"/>
          <w:color w:val="42413C"/>
          <w:kern w:val="0"/>
          <w:sz w:val="32"/>
          <w:szCs w:val="32"/>
        </w:rPr>
        <w:t>。</w:t>
      </w:r>
      <w:r>
        <w:rPr>
          <w:rFonts w:ascii="仿宋_GB2312" w:hAnsi="Helvetica" w:eastAsia="仿宋_GB2312" w:cs="Helvetica"/>
          <w:color w:val="42413C"/>
          <w:kern w:val="0"/>
          <w:sz w:val="32"/>
          <w:szCs w:val="32"/>
        </w:rPr>
        <w:t>三是</w:t>
      </w:r>
      <w:r>
        <w:rPr>
          <w:rFonts w:hint="eastAsia" w:ascii="仿宋_GB2312" w:hAnsi="Helvetica" w:eastAsia="仿宋_GB2312" w:cs="Helvetica"/>
          <w:color w:val="42413C"/>
          <w:kern w:val="0"/>
          <w:sz w:val="32"/>
          <w:szCs w:val="32"/>
        </w:rPr>
        <w:t>分领域梳理群众反映强烈的突出问题，开展集中专项整治。对潜在风险大、可能造成严重不良后果的，加强日常监管和执法巡查，从源头上预防和化解违法风险。畅通违法行为投诉举报渠道，对举报严重违法违规行为和重大风险隐患的有功人员依法予以奖励和严格保护。</w:t>
      </w:r>
    </w:p>
    <w:p>
      <w:pPr>
        <w:keepNext w:val="0"/>
        <w:keepLines w:val="0"/>
        <w:pageBreakBefore w:val="0"/>
        <w:kinsoku/>
        <w:overflowPunct/>
        <w:topLinePunct w:val="0"/>
        <w:autoSpaceDN/>
        <w:bidi w:val="0"/>
        <w:adjustRightInd/>
        <w:snapToGrid/>
        <w:spacing w:line="68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（五）</w:t>
      </w:r>
      <w:r>
        <w:rPr>
          <w:rFonts w:hint="default" w:ascii="楷体_GB2312" w:hAnsi="Times New Roman" w:eastAsia="楷体_GB2312" w:cs="Times New Roman"/>
          <w:color w:val="auto"/>
          <w:sz w:val="32"/>
          <w:szCs w:val="32"/>
          <w:u w:val="none"/>
          <w:lang w:val="en-US" w:eastAsia="zh-CN"/>
        </w:rPr>
        <w:t>加强</w:t>
      </w:r>
      <w:r>
        <w:rPr>
          <w:rFonts w:hint="eastAsia" w:ascii="楷体_GB2312" w:hAnsi="Times New Roman" w:eastAsia="楷体_GB2312" w:cs="Times New Roman"/>
          <w:color w:val="auto"/>
          <w:sz w:val="32"/>
          <w:szCs w:val="32"/>
          <w:u w:val="none"/>
          <w:lang w:eastAsia="zh-CN"/>
        </w:rPr>
        <w:t>应急管理</w:t>
      </w:r>
      <w:r>
        <w:rPr>
          <w:rFonts w:hint="eastAsia" w:ascii="楷体_GB2312" w:hAnsi="Times New Roman" w:eastAsia="楷体_GB2312" w:cs="Times New Roman"/>
          <w:color w:val="auto"/>
          <w:sz w:val="32"/>
          <w:szCs w:val="32"/>
          <w:u w:val="none"/>
          <w:lang w:val="en-US" w:eastAsia="zh-CN"/>
        </w:rPr>
        <w:t>法治保障</w:t>
      </w:r>
    </w:p>
    <w:p>
      <w:pPr>
        <w:keepNext w:val="0"/>
        <w:keepLines w:val="0"/>
        <w:pageBreakBefore w:val="0"/>
        <w:kinsoku/>
        <w:overflowPunct/>
        <w:topLinePunct w:val="0"/>
        <w:autoSpaceDN/>
        <w:bidi w:val="0"/>
        <w:adjustRightInd/>
        <w:snapToGrid/>
        <w:spacing w:line="680" w:lineRule="exact"/>
        <w:ind w:firstLine="640" w:firstLineChars="200"/>
        <w:textAlignment w:val="auto"/>
        <w:rPr>
          <w:rFonts w:ascii="楷体_GB2312" w:hAnsi="Times New Roman" w:eastAsia="楷体_GB2312" w:cs="Times New Roman"/>
          <w:sz w:val="32"/>
          <w:szCs w:val="32"/>
        </w:rPr>
      </w:pPr>
      <w:r>
        <w:rPr>
          <w:rFonts w:hint="eastAsia" w:ascii="仿宋_GB2312" w:hAnsi="Helvetica" w:eastAsia="仿宋_GB2312" w:cs="Helvetica"/>
          <w:color w:val="42413C"/>
          <w:sz w:val="32"/>
          <w:szCs w:val="32"/>
        </w:rPr>
        <w:t>按照哈尔</w:t>
      </w:r>
      <w:r>
        <w:rPr>
          <w:rFonts w:hint="eastAsia" w:ascii="仿宋_GB2312" w:hAnsi="Helvetica" w:eastAsia="仿宋_GB2312" w:cs="Helvetica"/>
          <w:color w:val="42413C"/>
          <w:sz w:val="32"/>
          <w:szCs w:val="32"/>
          <w:lang w:eastAsia="zh-CN"/>
        </w:rPr>
        <w:t>滨</w:t>
      </w:r>
      <w:r>
        <w:rPr>
          <w:rFonts w:hint="eastAsia" w:ascii="仿宋_GB2312" w:hAnsi="Helvetica" w:eastAsia="仿宋_GB2312" w:cs="Helvetica"/>
          <w:color w:val="42413C"/>
          <w:sz w:val="32"/>
          <w:szCs w:val="32"/>
        </w:rPr>
        <w:t>市教育局的工作部署和要求，呼兰区教育系统牢固树立“安全第一、生命至上”的思想，坚守安全底线。加强网络舆情监测，完善舆情应对机制，突出准确研判、有效引导、协同处置。完善突发事件应急管理机制，规范紧急信息报送。提高突发事件依法处置能力</w:t>
      </w:r>
      <w:r>
        <w:rPr>
          <w:rFonts w:hint="eastAsia" w:ascii="仿宋_GB2312" w:hAnsi="Helvetica" w:eastAsia="仿宋_GB2312" w:cs="Helvetica"/>
          <w:color w:val="42413C"/>
          <w:sz w:val="32"/>
          <w:szCs w:val="32"/>
          <w:lang w:eastAsia="zh-CN"/>
        </w:rPr>
        <w:t>，</w:t>
      </w:r>
      <w:r>
        <w:rPr>
          <w:rFonts w:hint="eastAsia" w:ascii="仿宋_GB2312" w:hAnsi="Helvetica" w:eastAsia="仿宋_GB2312" w:cs="Helvetica"/>
          <w:color w:val="42413C"/>
          <w:sz w:val="32"/>
          <w:szCs w:val="32"/>
        </w:rPr>
        <w:t>定期开展应急演练，注重提升依法预防突发事件、先期处置和快速反应能力。加强突发事件信息公开和危机沟通，完善公共舆情应对机制。加强突发事件应急处置法律法规教育培训，增强应急处置法治意识。</w:t>
      </w:r>
    </w:p>
    <w:p>
      <w:pPr>
        <w:keepNext w:val="0"/>
        <w:keepLines w:val="0"/>
        <w:pageBreakBefore w:val="0"/>
        <w:kinsoku/>
        <w:overflowPunct/>
        <w:topLinePunct w:val="0"/>
        <w:autoSpaceDN/>
        <w:bidi w:val="0"/>
        <w:adjustRightInd/>
        <w:snapToGrid/>
        <w:spacing w:line="68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（六）</w:t>
      </w:r>
      <w:r>
        <w:rPr>
          <w:rFonts w:hint="eastAsia" w:ascii="楷体_GB2312" w:hAnsi="Times New Roman" w:eastAsia="楷体_GB2312" w:cs="Times New Roman"/>
          <w:color w:val="auto"/>
          <w:sz w:val="32"/>
          <w:szCs w:val="32"/>
          <w:u w:val="none"/>
        </w:rPr>
        <w:t>依法有效化解社会矛盾纠纷</w:t>
      </w:r>
    </w:p>
    <w:p>
      <w:pPr>
        <w:keepNext w:val="0"/>
        <w:keepLines w:val="0"/>
        <w:pageBreakBefore w:val="0"/>
        <w:widowControl/>
        <w:shd w:val="clear" w:color="auto" w:fill="FFFFFF"/>
        <w:kinsoku/>
        <w:overflowPunct/>
        <w:topLinePunct w:val="0"/>
        <w:autoSpaceDN/>
        <w:bidi w:val="0"/>
        <w:adjustRightInd/>
        <w:snapToGrid/>
        <w:spacing w:line="680" w:lineRule="exact"/>
        <w:ind w:firstLine="640" w:firstLineChars="200"/>
        <w:jc w:val="left"/>
        <w:textAlignment w:val="auto"/>
        <w:outlineLvl w:val="3"/>
        <w:rPr>
          <w:rFonts w:hint="eastAsia" w:ascii="仿宋" w:hAnsi="仿宋" w:eastAsia="仿宋_GB2312" w:cs="宋体"/>
          <w:color w:val="000000"/>
          <w:kern w:val="0"/>
          <w:sz w:val="32"/>
          <w:szCs w:val="32"/>
          <w:lang w:eastAsia="zh-CN"/>
        </w:rPr>
      </w:pPr>
      <w:r>
        <w:rPr>
          <w:rFonts w:hint="eastAsia" w:ascii="仿宋_GB2312" w:hAnsi="Helvetica" w:eastAsia="仿宋_GB2312" w:cs="Helvetica"/>
          <w:color w:val="42413C"/>
          <w:sz w:val="32"/>
          <w:szCs w:val="32"/>
        </w:rPr>
        <w:t>增强风险防范意识，强化本部门防范化解教育领域重大风险责任。建立重大节日和特殊时期安全维稳工作制度，针对部门、教育系统、网站与新媒体等成立专门应急工作小组，健全了社会矛盾纠纷排查机制、重大群体性和突发性社会事件的预警应急机制、行政调解机制</w:t>
      </w:r>
      <w:r>
        <w:rPr>
          <w:rFonts w:hint="eastAsia" w:ascii="仿宋_GB2312" w:hAnsi="Helvetica" w:eastAsia="仿宋_GB2312" w:cs="Helvetica"/>
          <w:color w:val="42413C"/>
          <w:sz w:val="32"/>
          <w:szCs w:val="32"/>
          <w:lang w:eastAsia="zh-CN"/>
        </w:rPr>
        <w:t>，</w:t>
      </w:r>
      <w:r>
        <w:rPr>
          <w:rFonts w:hint="eastAsia" w:ascii="仿宋_GB2312" w:hAnsi="Helvetica" w:eastAsia="仿宋_GB2312" w:cs="Helvetica"/>
          <w:color w:val="42413C"/>
          <w:sz w:val="32"/>
          <w:szCs w:val="32"/>
        </w:rPr>
        <w:t>维护教育系统和谐稳定</w:t>
      </w:r>
      <w:r>
        <w:rPr>
          <w:rFonts w:hint="eastAsia" w:ascii="仿宋_GB2312" w:hAnsi="Helvetica" w:eastAsia="仿宋_GB2312" w:cs="Helvetica"/>
          <w:color w:val="42413C"/>
          <w:sz w:val="32"/>
          <w:szCs w:val="32"/>
          <w:lang w:eastAsia="zh-CN"/>
        </w:rPr>
        <w:t>。</w:t>
      </w:r>
    </w:p>
    <w:p>
      <w:pPr>
        <w:keepNext w:val="0"/>
        <w:keepLines w:val="0"/>
        <w:pageBreakBefore w:val="0"/>
        <w:kinsoku/>
        <w:overflowPunct/>
        <w:topLinePunct w:val="0"/>
        <w:autoSpaceDN/>
        <w:bidi w:val="0"/>
        <w:adjustRightInd/>
        <w:snapToGrid/>
        <w:spacing w:line="680" w:lineRule="exact"/>
        <w:ind w:firstLine="640" w:firstLineChars="200"/>
        <w:textAlignment w:val="auto"/>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（七）</w:t>
      </w:r>
      <w:r>
        <w:rPr>
          <w:rFonts w:hint="default" w:ascii="楷体_GB2312" w:hAnsi="Times New Roman" w:eastAsia="楷体_GB2312" w:cs="Times New Roman"/>
          <w:color w:val="auto"/>
          <w:sz w:val="32"/>
          <w:szCs w:val="32"/>
          <w:u w:val="none"/>
          <w:lang w:val="en-US" w:eastAsia="zh-CN"/>
        </w:rPr>
        <w:t>规范对</w:t>
      </w:r>
      <w:r>
        <w:rPr>
          <w:rFonts w:hint="eastAsia" w:ascii="楷体_GB2312" w:hAnsi="Times New Roman" w:eastAsia="楷体_GB2312" w:cs="Times New Roman"/>
          <w:color w:val="auto"/>
          <w:sz w:val="32"/>
          <w:szCs w:val="32"/>
          <w:u w:val="none"/>
        </w:rPr>
        <w:t>行政权力制约和监督</w:t>
      </w:r>
    </w:p>
    <w:p>
      <w:pPr>
        <w:keepNext w:val="0"/>
        <w:keepLines w:val="0"/>
        <w:pageBreakBefore w:val="0"/>
        <w:widowControl/>
        <w:shd w:val="clear" w:color="auto" w:fill="FFFFFF"/>
        <w:kinsoku/>
        <w:wordWrap/>
        <w:overflowPunct/>
        <w:topLinePunct w:val="0"/>
        <w:autoSpaceDE/>
        <w:autoSpaceDN/>
        <w:bidi w:val="0"/>
        <w:adjustRightInd/>
        <w:snapToGrid/>
        <w:spacing w:line="680" w:lineRule="exact"/>
        <w:ind w:firstLine="640" w:firstLineChars="200"/>
        <w:jc w:val="left"/>
        <w:textAlignment w:val="auto"/>
        <w:outlineLvl w:val="3"/>
        <w:rPr>
          <w:rFonts w:hint="eastAsia" w:ascii="仿宋_GB2312" w:hAnsi="Helvetica" w:eastAsia="仿宋_GB2312" w:cs="Helvetica"/>
          <w:color w:val="42413C"/>
          <w:sz w:val="32"/>
          <w:szCs w:val="32"/>
          <w:lang w:eastAsia="zh-CN"/>
        </w:rPr>
      </w:pPr>
      <w:r>
        <w:rPr>
          <w:rFonts w:hint="eastAsia" w:ascii="仿宋_GB2312" w:hAnsi="Helvetica" w:eastAsia="仿宋_GB2312" w:cs="Helvetica"/>
          <w:color w:val="42413C"/>
          <w:sz w:val="32"/>
          <w:szCs w:val="32"/>
        </w:rPr>
        <w:t>一是开展以《中华人民共和国民法典》《中华人民共和国未成年人保护法》《中华人民共和国预防未成年人犯罪法》《中小学教育惩戒规则》等法律法规为内容的普法宣传，提升学校治理水平，提高教职员工发现隐患的敏锐性和洞察力。二是发挥学校是青少年法治教育主阵地作用。开展安全法规、防电信诈骗、防溺水、反邪教、禁毒及学生健康方面宣传教育，不断提高学生懂法、识法、用法能力。三是抓好招生政策法规宣传，实现招生政策宣传全覆盖。坚持义务教育免试就近入学，</w:t>
      </w:r>
      <w:r>
        <w:rPr>
          <w:rFonts w:hint="eastAsia" w:ascii="仿宋_GB2312" w:hAnsi="Helvetica" w:eastAsia="仿宋_GB2312" w:cs="Helvetica"/>
          <w:color w:val="42413C"/>
          <w:sz w:val="32"/>
          <w:szCs w:val="32"/>
          <w:lang w:eastAsia="zh-CN"/>
        </w:rPr>
        <w:t>继续</w:t>
      </w:r>
      <w:r>
        <w:rPr>
          <w:rFonts w:hint="eastAsia" w:ascii="仿宋_GB2312" w:hAnsi="Helvetica" w:eastAsia="仿宋_GB2312" w:cs="Helvetica"/>
          <w:color w:val="42413C"/>
          <w:sz w:val="32"/>
          <w:szCs w:val="32"/>
        </w:rPr>
        <w:t>实施使用小学招生网上报名系统和初中招生电脑派位办法，</w:t>
      </w:r>
      <w:r>
        <w:rPr>
          <w:rFonts w:hint="eastAsia" w:ascii="仿宋_GB2312" w:hAnsi="Helvetica" w:eastAsia="仿宋_GB2312" w:cs="Helvetica"/>
          <w:color w:val="42413C"/>
          <w:sz w:val="32"/>
          <w:szCs w:val="32"/>
          <w:lang w:eastAsia="zh-CN"/>
        </w:rPr>
        <w:t>确保招生工作公平、公正、公开。</w:t>
      </w:r>
    </w:p>
    <w:p>
      <w:pPr>
        <w:keepNext w:val="0"/>
        <w:keepLines w:val="0"/>
        <w:pageBreakBefore w:val="0"/>
        <w:widowControl/>
        <w:shd w:val="clear" w:color="auto" w:fill="FFFFFF"/>
        <w:kinsoku/>
        <w:overflowPunct/>
        <w:topLinePunct w:val="0"/>
        <w:autoSpaceDN/>
        <w:bidi w:val="0"/>
        <w:adjustRightInd/>
        <w:snapToGrid/>
        <w:spacing w:line="680" w:lineRule="exact"/>
        <w:ind w:firstLine="640" w:firstLineChars="200"/>
        <w:jc w:val="left"/>
        <w:textAlignment w:val="auto"/>
        <w:outlineLvl w:val="3"/>
        <w:rPr>
          <w:rFonts w:ascii="楷体_GB2312" w:hAnsi="Times New Roman" w:eastAsia="楷体_GB2312" w:cs="Times New Roman"/>
          <w:sz w:val="32"/>
          <w:szCs w:val="32"/>
        </w:rPr>
      </w:pPr>
      <w:r>
        <w:rPr>
          <w:rFonts w:hint="eastAsia" w:ascii="楷体_GB2312" w:hAnsi="Times New Roman" w:eastAsia="楷体_GB2312" w:cs="Times New Roman"/>
          <w:sz w:val="32"/>
          <w:szCs w:val="32"/>
        </w:rPr>
        <w:t>（八）</w:t>
      </w:r>
      <w:r>
        <w:rPr>
          <w:rFonts w:hint="default" w:ascii="楷体_GB2312" w:eastAsia="楷体_GB2312"/>
          <w:color w:val="auto"/>
          <w:sz w:val="32"/>
          <w:szCs w:val="32"/>
          <w:lang w:val="en-US" w:eastAsia="zh-CN"/>
        </w:rPr>
        <w:t>持续推进数字</w:t>
      </w:r>
      <w:r>
        <w:rPr>
          <w:rFonts w:hint="eastAsia" w:ascii="楷体_GB2312" w:eastAsia="楷体_GB2312"/>
          <w:color w:val="auto"/>
          <w:sz w:val="32"/>
          <w:szCs w:val="32"/>
          <w:lang w:eastAsia="zh-CN"/>
        </w:rPr>
        <w:t>法治政府建设</w:t>
      </w:r>
    </w:p>
    <w:p>
      <w:pPr>
        <w:keepNext w:val="0"/>
        <w:keepLines w:val="0"/>
        <w:pageBreakBefore w:val="0"/>
        <w:widowControl/>
        <w:shd w:val="clear" w:color="auto" w:fill="FFFFFF"/>
        <w:kinsoku/>
        <w:overflowPunct/>
        <w:topLinePunct w:val="0"/>
        <w:autoSpaceDN/>
        <w:bidi w:val="0"/>
        <w:adjustRightInd/>
        <w:snapToGrid/>
        <w:spacing w:line="680" w:lineRule="exact"/>
        <w:ind w:firstLine="640" w:firstLineChars="200"/>
        <w:jc w:val="left"/>
        <w:textAlignment w:val="auto"/>
        <w:outlineLvl w:val="3"/>
        <w:rPr>
          <w:rFonts w:hint="eastAsia" w:ascii="仿宋_GB2312" w:hAnsi="Helvetica" w:eastAsia="仿宋_GB2312" w:cs="Helvetica"/>
          <w:color w:val="42413C"/>
          <w:sz w:val="32"/>
          <w:szCs w:val="32"/>
        </w:rPr>
      </w:pPr>
      <w:r>
        <w:rPr>
          <w:rFonts w:hint="eastAsia" w:ascii="仿宋_GB2312" w:hAnsi="Helvetica" w:eastAsia="仿宋_GB2312" w:cs="Helvetica"/>
          <w:color w:val="42413C"/>
          <w:sz w:val="32"/>
          <w:szCs w:val="32"/>
        </w:rPr>
        <w:t>在健全法治政府建设科技保障体系上，围绕加快推进信息化平台建设、加快推进政务数据有序共享，建立健全政务数据共享协调机制，将教育系统信息尽快同本地区政务服务平台衔接。</w:t>
      </w:r>
    </w:p>
    <w:p>
      <w:pPr>
        <w:keepNext w:val="0"/>
        <w:keepLines w:val="0"/>
        <w:pageBreakBefore w:val="0"/>
        <w:widowControl/>
        <w:shd w:val="clear" w:color="auto" w:fill="FFFFFF"/>
        <w:kinsoku/>
        <w:overflowPunct/>
        <w:topLinePunct w:val="0"/>
        <w:autoSpaceDN/>
        <w:bidi w:val="0"/>
        <w:adjustRightInd/>
        <w:snapToGrid/>
        <w:spacing w:line="680" w:lineRule="exact"/>
        <w:ind w:firstLine="640" w:firstLineChars="200"/>
        <w:jc w:val="left"/>
        <w:textAlignment w:val="auto"/>
        <w:outlineLvl w:val="3"/>
        <w:rPr>
          <w:rFonts w:ascii="楷体_GB2312" w:hAnsi="Times New Roman" w:eastAsia="楷体_GB2312" w:cs="Times New Roman"/>
          <w:sz w:val="32"/>
          <w:szCs w:val="32"/>
        </w:rPr>
      </w:pPr>
      <w:r>
        <w:rPr>
          <w:rFonts w:hint="eastAsia" w:ascii="楷体_GB2312" w:hAnsi="Times New Roman" w:eastAsia="楷体_GB2312" w:cs="Times New Roman"/>
          <w:sz w:val="32"/>
          <w:szCs w:val="32"/>
        </w:rPr>
        <w:t>（九）</w:t>
      </w:r>
      <w:r>
        <w:rPr>
          <w:rFonts w:hint="default" w:ascii="楷体_GB2312" w:eastAsia="楷体_GB2312"/>
          <w:color w:val="auto"/>
          <w:sz w:val="32"/>
          <w:szCs w:val="32"/>
          <w:lang w:val="en-US" w:eastAsia="zh-CN"/>
        </w:rPr>
        <w:t>落实</w:t>
      </w:r>
      <w:r>
        <w:rPr>
          <w:rFonts w:hint="eastAsia" w:ascii="楷体_GB2312" w:eastAsia="楷体_GB2312"/>
          <w:color w:val="auto"/>
          <w:sz w:val="32"/>
          <w:szCs w:val="32"/>
          <w:lang w:eastAsia="zh-CN"/>
        </w:rPr>
        <w:t>法治政府建设推进机制</w:t>
      </w:r>
    </w:p>
    <w:p>
      <w:pPr>
        <w:keepNext w:val="0"/>
        <w:keepLines w:val="0"/>
        <w:pageBreakBefore w:val="0"/>
        <w:widowControl/>
        <w:shd w:val="clear" w:color="auto" w:fill="FFFFFF"/>
        <w:kinsoku/>
        <w:overflowPunct/>
        <w:topLinePunct w:val="0"/>
        <w:autoSpaceDN/>
        <w:bidi w:val="0"/>
        <w:adjustRightInd/>
        <w:snapToGrid/>
        <w:spacing w:line="680" w:lineRule="exact"/>
        <w:ind w:firstLine="640" w:firstLineChars="200"/>
        <w:jc w:val="left"/>
        <w:textAlignment w:val="auto"/>
        <w:outlineLvl w:val="3"/>
        <w:rPr>
          <w:rFonts w:hint="eastAsia" w:ascii="仿宋_GB2312" w:hAnsi="Helvetica" w:eastAsia="仿宋_GB2312" w:cs="Helvetica"/>
          <w:color w:val="42413C"/>
          <w:sz w:val="32"/>
          <w:szCs w:val="32"/>
        </w:rPr>
      </w:pPr>
      <w:r>
        <w:rPr>
          <w:rFonts w:hint="eastAsia" w:ascii="仿宋_GB2312" w:hAnsi="Helvetica" w:eastAsia="仿宋_GB2312" w:cs="Helvetica"/>
          <w:color w:val="42413C"/>
          <w:sz w:val="32"/>
          <w:szCs w:val="32"/>
        </w:rPr>
        <w:t>一是及时公布需对外公布的规范性文件，方便群众办事和享受政府服务。二是重视群众及其他社会组织的过程性参与，保证工作公开及高效运转。三是利用政务服务平台改革政务服务模式，根据权责清单，推进行政审批制度改革，方便群众办事。四是落实行政执法三项制度。按照国家、省、市关于全面推行行政执法三项制度的有关要求，做好行政执法公示、执法全过程记录以及重大行政执法决定的法治审核工作。</w:t>
      </w:r>
    </w:p>
    <w:p>
      <w:pPr>
        <w:keepNext w:val="0"/>
        <w:keepLines w:val="0"/>
        <w:pageBreakBefore w:val="0"/>
        <w:kinsoku/>
        <w:overflowPunct/>
        <w:topLinePunct w:val="0"/>
        <w:autoSpaceDE w:val="0"/>
        <w:autoSpaceDN/>
        <w:bidi w:val="0"/>
        <w:adjustRightInd/>
        <w:snapToGrid/>
        <w:spacing w:line="68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二、2023年度推进法治政府建设存在的不足和原因</w:t>
      </w:r>
    </w:p>
    <w:p>
      <w:pPr>
        <w:keepNext w:val="0"/>
        <w:keepLines w:val="0"/>
        <w:pageBreakBefore w:val="0"/>
        <w:widowControl/>
        <w:shd w:val="clear" w:color="auto" w:fill="FFFFFF"/>
        <w:kinsoku/>
        <w:overflowPunct/>
        <w:topLinePunct w:val="0"/>
        <w:autoSpaceDN/>
        <w:bidi w:val="0"/>
        <w:adjustRightInd/>
        <w:snapToGrid/>
        <w:spacing w:line="680" w:lineRule="exact"/>
        <w:ind w:firstLine="640" w:firstLineChars="200"/>
        <w:jc w:val="left"/>
        <w:textAlignment w:val="auto"/>
        <w:outlineLvl w:val="3"/>
        <w:rPr>
          <w:rFonts w:hint="eastAsia" w:ascii="仿宋_GB2312" w:hAnsi="Helvetica" w:eastAsia="仿宋_GB2312" w:cs="Helvetica"/>
          <w:color w:val="42413C"/>
          <w:sz w:val="32"/>
          <w:szCs w:val="32"/>
        </w:rPr>
      </w:pPr>
      <w:r>
        <w:rPr>
          <w:rFonts w:hint="eastAsia" w:ascii="仿宋_GB2312" w:hAnsi="Helvetica" w:eastAsia="仿宋_GB2312" w:cs="Helvetica"/>
          <w:color w:val="42413C"/>
          <w:sz w:val="32"/>
          <w:szCs w:val="32"/>
        </w:rPr>
        <w:t>一是受制于师资配备限制等原因，普法特色品牌建设有待提升。二是因教育系统暂无专业执法队伍，执法规范化程度与先行示范标准尚存差距。三是个别干部职工学法、用法的主动性和自觉性不足。</w:t>
      </w:r>
    </w:p>
    <w:p>
      <w:pPr>
        <w:keepNext w:val="0"/>
        <w:keepLines w:val="0"/>
        <w:pageBreakBefore w:val="0"/>
        <w:kinsoku/>
        <w:overflowPunct/>
        <w:topLinePunct w:val="0"/>
        <w:autoSpaceDE w:val="0"/>
        <w:autoSpaceDN/>
        <w:bidi w:val="0"/>
        <w:adjustRightInd/>
        <w:snapToGrid/>
        <w:spacing w:line="68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三、2023年度党政主要负责人履行推进法治建设第一责任人职责，加强法治政府建设的有关情况</w:t>
      </w:r>
    </w:p>
    <w:p>
      <w:pPr>
        <w:keepNext w:val="0"/>
        <w:keepLines w:val="0"/>
        <w:pageBreakBefore w:val="0"/>
        <w:kinsoku/>
        <w:overflowPunct/>
        <w:topLinePunct w:val="0"/>
        <w:autoSpaceDE w:val="0"/>
        <w:autoSpaceDN/>
        <w:bidi w:val="0"/>
        <w:adjustRightInd/>
        <w:snapToGrid/>
        <w:spacing w:line="680" w:lineRule="exact"/>
        <w:ind w:firstLine="640" w:firstLineChars="200"/>
        <w:textAlignment w:val="auto"/>
        <w:rPr>
          <w:rFonts w:ascii="仿宋_GB2312" w:hAnsi="Times New Roman" w:eastAsia="仿宋_GB2312" w:cs="仿宋_GB2312"/>
          <w:sz w:val="32"/>
          <w:szCs w:val="32"/>
        </w:rPr>
      </w:pPr>
      <w:r>
        <w:rPr>
          <w:rFonts w:hint="eastAsia" w:ascii="仿宋_GB2312" w:hAnsi="Helvetica" w:eastAsia="仿宋_GB2312" w:cs="Helvetica"/>
          <w:color w:val="42413C"/>
          <w:kern w:val="0"/>
          <w:sz w:val="32"/>
          <w:szCs w:val="32"/>
        </w:rPr>
        <w:t>进一步落实党政主要负责人履行推进法治建设第一责任人职责，落实政府合同管理、公平竞争内部审查、重大执法决定法制审核制度。努力克服政策落实偏差，真心诚意、实实在在回应人民群众的期盼关切。</w:t>
      </w:r>
    </w:p>
    <w:p>
      <w:pPr>
        <w:keepNext w:val="0"/>
        <w:keepLines w:val="0"/>
        <w:pageBreakBefore w:val="0"/>
        <w:kinsoku/>
        <w:overflowPunct/>
        <w:topLinePunct w:val="0"/>
        <w:autoSpaceDE w:val="0"/>
        <w:autoSpaceDN/>
        <w:bidi w:val="0"/>
        <w:adjustRightInd/>
        <w:snapToGrid/>
        <w:spacing w:line="68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四、2024年度推进法治政府建设的主要安排</w:t>
      </w:r>
    </w:p>
    <w:p>
      <w:pPr>
        <w:keepNext w:val="0"/>
        <w:keepLines w:val="0"/>
        <w:pageBreakBefore w:val="0"/>
        <w:widowControl/>
        <w:numPr>
          <w:ilvl w:val="0"/>
          <w:numId w:val="1"/>
        </w:numPr>
        <w:shd w:val="clear" w:color="auto" w:fill="FFFFFF"/>
        <w:kinsoku/>
        <w:overflowPunct/>
        <w:topLinePunct w:val="0"/>
        <w:autoSpaceDN/>
        <w:bidi w:val="0"/>
        <w:adjustRightInd/>
        <w:snapToGrid/>
        <w:spacing w:line="680" w:lineRule="exact"/>
        <w:ind w:firstLine="640" w:firstLineChars="200"/>
        <w:jc w:val="left"/>
        <w:textAlignment w:val="auto"/>
        <w:outlineLvl w:val="3"/>
        <w:rPr>
          <w:rFonts w:hint="eastAsia" w:ascii="仿宋_GB2312" w:hAnsi="Helvetica" w:eastAsia="仿宋_GB2312" w:cs="Helvetica"/>
          <w:color w:val="42413C"/>
          <w:kern w:val="0"/>
          <w:sz w:val="32"/>
          <w:szCs w:val="32"/>
        </w:rPr>
      </w:pPr>
      <w:r>
        <w:rPr>
          <w:rFonts w:hint="eastAsia" w:ascii="仿宋_GB2312" w:hAnsi="Helvetica" w:eastAsia="仿宋_GB2312" w:cs="Helvetica"/>
          <w:color w:val="42413C"/>
          <w:kern w:val="0"/>
          <w:sz w:val="32"/>
          <w:szCs w:val="32"/>
        </w:rPr>
        <w:t>强化</w:t>
      </w:r>
      <w:r>
        <w:rPr>
          <w:rFonts w:hint="eastAsia" w:ascii="仿宋_GB2312" w:hAnsi="Helvetica" w:eastAsia="仿宋_GB2312" w:cs="Helvetica"/>
          <w:color w:val="42413C"/>
          <w:kern w:val="0"/>
          <w:sz w:val="32"/>
          <w:szCs w:val="32"/>
          <w:lang w:eastAsia="zh-CN"/>
        </w:rPr>
        <w:t>领导干部</w:t>
      </w:r>
      <w:r>
        <w:rPr>
          <w:rFonts w:hint="eastAsia" w:ascii="仿宋_GB2312" w:hAnsi="Helvetica" w:eastAsia="仿宋_GB2312" w:cs="Helvetica"/>
          <w:color w:val="42413C"/>
          <w:kern w:val="0"/>
          <w:sz w:val="32"/>
          <w:szCs w:val="32"/>
        </w:rPr>
        <w:t>法治思维。要充分发挥领导干部的带头作用，进一步抓牢</w:t>
      </w:r>
      <w:r>
        <w:rPr>
          <w:rFonts w:hint="eastAsia" w:ascii="仿宋_GB2312" w:hAnsi="Helvetica" w:eastAsia="仿宋_GB2312" w:cs="Helvetica"/>
          <w:color w:val="42413C"/>
          <w:kern w:val="0"/>
          <w:sz w:val="32"/>
          <w:szCs w:val="32"/>
          <w:lang w:eastAsia="zh-CN"/>
        </w:rPr>
        <w:t>本</w:t>
      </w:r>
      <w:r>
        <w:rPr>
          <w:rFonts w:hint="eastAsia" w:ascii="仿宋_GB2312" w:hAnsi="Helvetica" w:eastAsia="仿宋_GB2312" w:cs="Helvetica"/>
          <w:color w:val="42413C"/>
          <w:kern w:val="0"/>
          <w:sz w:val="32"/>
          <w:szCs w:val="32"/>
        </w:rPr>
        <w:t>单位的法治学习，丰富学习内容，</w:t>
      </w:r>
      <w:r>
        <w:rPr>
          <w:rFonts w:hint="eastAsia" w:ascii="仿宋_GB2312" w:hAnsi="Helvetica" w:eastAsia="仿宋_GB2312" w:cs="Helvetica"/>
          <w:color w:val="42413C"/>
          <w:kern w:val="0"/>
          <w:sz w:val="32"/>
          <w:szCs w:val="32"/>
          <w:lang w:eastAsia="zh-CN"/>
        </w:rPr>
        <w:t>以</w:t>
      </w:r>
      <w:r>
        <w:rPr>
          <w:rFonts w:hint="eastAsia" w:ascii="仿宋_GB2312" w:hAnsi="Helvetica" w:eastAsia="仿宋_GB2312" w:cs="Helvetica"/>
          <w:color w:val="42413C"/>
          <w:kern w:val="0"/>
          <w:sz w:val="32"/>
          <w:szCs w:val="32"/>
        </w:rPr>
        <w:t>形成懂法、知法、守法的思维观念</w:t>
      </w:r>
      <w:r>
        <w:rPr>
          <w:rFonts w:hint="eastAsia" w:ascii="仿宋_GB2312" w:hAnsi="Helvetica" w:eastAsia="仿宋_GB2312" w:cs="Helvetica"/>
          <w:color w:val="42413C"/>
          <w:kern w:val="0"/>
          <w:sz w:val="32"/>
          <w:szCs w:val="32"/>
          <w:lang w:eastAsia="zh-CN"/>
        </w:rPr>
        <w:t>，切</w:t>
      </w:r>
      <w:r>
        <w:rPr>
          <w:rFonts w:hint="eastAsia" w:ascii="仿宋_GB2312" w:hAnsi="Helvetica" w:eastAsia="仿宋_GB2312" w:cs="Helvetica"/>
          <w:color w:val="42413C"/>
          <w:kern w:val="0"/>
          <w:sz w:val="32"/>
          <w:szCs w:val="32"/>
        </w:rPr>
        <w:t>实提升工作人员的法律素养和业务技能</w:t>
      </w:r>
      <w:r>
        <w:rPr>
          <w:rFonts w:hint="eastAsia" w:ascii="仿宋_GB2312" w:hAnsi="Helvetica" w:eastAsia="仿宋_GB2312" w:cs="Helvetica"/>
          <w:color w:val="42413C"/>
          <w:kern w:val="0"/>
          <w:sz w:val="32"/>
          <w:szCs w:val="32"/>
          <w:lang w:eastAsia="zh-CN"/>
        </w:rPr>
        <w:t>。</w:t>
      </w:r>
    </w:p>
    <w:p>
      <w:pPr>
        <w:keepNext w:val="0"/>
        <w:keepLines w:val="0"/>
        <w:pageBreakBefore w:val="0"/>
        <w:widowControl/>
        <w:numPr>
          <w:ilvl w:val="0"/>
          <w:numId w:val="1"/>
        </w:numPr>
        <w:shd w:val="clear" w:color="auto" w:fill="FFFFFF"/>
        <w:kinsoku/>
        <w:overflowPunct/>
        <w:topLinePunct w:val="0"/>
        <w:autoSpaceDN/>
        <w:bidi w:val="0"/>
        <w:adjustRightInd/>
        <w:snapToGrid/>
        <w:spacing w:line="680" w:lineRule="exact"/>
        <w:ind w:firstLine="640" w:firstLineChars="200"/>
        <w:jc w:val="left"/>
        <w:textAlignment w:val="auto"/>
        <w:outlineLvl w:val="3"/>
        <w:rPr>
          <w:rFonts w:hint="eastAsia" w:ascii="仿宋_GB2312" w:hAnsi="Helvetica" w:eastAsia="仿宋_GB2312" w:cs="Helvetica"/>
          <w:color w:val="42413C"/>
          <w:kern w:val="0"/>
          <w:sz w:val="32"/>
          <w:szCs w:val="32"/>
        </w:rPr>
      </w:pPr>
      <w:r>
        <w:rPr>
          <w:rFonts w:hint="eastAsia" w:ascii="仿宋_GB2312" w:hAnsi="Helvetica" w:eastAsia="仿宋_GB2312" w:cs="Helvetica"/>
          <w:color w:val="42413C"/>
          <w:kern w:val="0"/>
          <w:sz w:val="32"/>
          <w:szCs w:val="32"/>
        </w:rPr>
        <w:t>提高依法科学民主决策水平。坚持落实重大行政决策程序制度，健全完善依法科学民主行政决策体系，切实履行合法性审查和集体讨论决定，将决策后评估结果作为调整重大行政决策的重要依据。</w:t>
      </w:r>
    </w:p>
    <w:p>
      <w:pPr>
        <w:keepNext w:val="0"/>
        <w:keepLines w:val="0"/>
        <w:pageBreakBefore w:val="0"/>
        <w:widowControl/>
        <w:shd w:val="clear" w:color="auto" w:fill="FFFFFF"/>
        <w:kinsoku/>
        <w:overflowPunct/>
        <w:topLinePunct w:val="0"/>
        <w:autoSpaceDN/>
        <w:bidi w:val="0"/>
        <w:adjustRightInd/>
        <w:snapToGrid/>
        <w:spacing w:line="680" w:lineRule="exact"/>
        <w:ind w:firstLine="640" w:firstLineChars="200"/>
        <w:jc w:val="left"/>
        <w:textAlignment w:val="auto"/>
        <w:outlineLvl w:val="3"/>
        <w:rPr>
          <w:rFonts w:hint="eastAsia" w:ascii="仿宋_GB2312" w:hAnsi="Helvetica" w:eastAsia="仿宋_GB2312" w:cs="Helvetica"/>
          <w:color w:val="42413C"/>
          <w:kern w:val="0"/>
          <w:sz w:val="32"/>
          <w:szCs w:val="32"/>
        </w:rPr>
      </w:pPr>
      <w:r>
        <w:rPr>
          <w:rFonts w:hint="eastAsia" w:ascii="仿宋_GB2312" w:hAnsi="Helvetica" w:eastAsia="仿宋_GB2312" w:cs="Helvetica"/>
          <w:color w:val="42413C"/>
          <w:kern w:val="0"/>
          <w:sz w:val="32"/>
          <w:szCs w:val="32"/>
        </w:rPr>
        <w:t>（</w:t>
      </w:r>
      <w:r>
        <w:rPr>
          <w:rFonts w:hint="eastAsia" w:ascii="仿宋_GB2312" w:hAnsi="Helvetica" w:eastAsia="仿宋_GB2312" w:cs="Helvetica"/>
          <w:color w:val="42413C"/>
          <w:kern w:val="0"/>
          <w:sz w:val="32"/>
          <w:szCs w:val="32"/>
          <w:lang w:eastAsia="zh-CN"/>
        </w:rPr>
        <w:t>三</w:t>
      </w:r>
      <w:r>
        <w:rPr>
          <w:rFonts w:hint="eastAsia" w:ascii="仿宋_GB2312" w:hAnsi="Helvetica" w:eastAsia="仿宋_GB2312" w:cs="Helvetica"/>
          <w:color w:val="42413C"/>
          <w:kern w:val="0"/>
          <w:sz w:val="32"/>
          <w:szCs w:val="32"/>
        </w:rPr>
        <w:t>）开展法治实践教育活动。全面推进《青少年法治教育大纲》的贯彻落实，有针对性开展防范校园欺凌、性侵害，反电信诈骗，禁毒防艾等方面法治教育，切实履行“谁执法谁普法”职责，提升青少年对法律法规的知晓度、法治精神的认同度、法治实践的参与度。</w:t>
      </w:r>
    </w:p>
    <w:p>
      <w:pPr>
        <w:keepNext w:val="0"/>
        <w:keepLines w:val="0"/>
        <w:pageBreakBefore w:val="0"/>
        <w:widowControl/>
        <w:shd w:val="clear" w:color="auto" w:fill="FFFFFF"/>
        <w:kinsoku/>
        <w:wordWrap w:val="0"/>
        <w:overflowPunct/>
        <w:topLinePunct w:val="0"/>
        <w:autoSpaceDE w:val="0"/>
        <w:autoSpaceDN/>
        <w:bidi w:val="0"/>
        <w:adjustRightInd/>
        <w:snapToGrid/>
        <w:spacing w:before="100" w:beforeAutospacing="1" w:after="100" w:afterAutospacing="1" w:line="680" w:lineRule="exact"/>
        <w:ind w:firstLine="4800" w:firstLineChars="1500"/>
        <w:jc w:val="both"/>
        <w:textAlignment w:val="auto"/>
        <w:rPr>
          <w:rFonts w:hint="eastAsia" w:ascii="仿宋_GB2312" w:hAnsi="Helvetica" w:eastAsia="仿宋_GB2312" w:cs="Helvetica"/>
          <w:color w:val="42413C"/>
          <w:kern w:val="0"/>
          <w:sz w:val="32"/>
          <w:szCs w:val="32"/>
          <w:lang w:eastAsia="zh-CN"/>
        </w:rPr>
      </w:pPr>
      <w:bookmarkStart w:id="0" w:name="_GoBack"/>
      <w:bookmarkEnd w:id="0"/>
    </w:p>
    <w:p>
      <w:pPr>
        <w:keepNext w:val="0"/>
        <w:keepLines w:val="0"/>
        <w:pageBreakBefore w:val="0"/>
        <w:widowControl/>
        <w:shd w:val="clear" w:color="auto" w:fill="FFFFFF"/>
        <w:kinsoku/>
        <w:wordWrap w:val="0"/>
        <w:overflowPunct/>
        <w:topLinePunct w:val="0"/>
        <w:autoSpaceDE w:val="0"/>
        <w:autoSpaceDN/>
        <w:bidi w:val="0"/>
        <w:adjustRightInd/>
        <w:snapToGrid/>
        <w:spacing w:before="100" w:beforeAutospacing="1" w:after="100" w:afterAutospacing="1" w:line="680" w:lineRule="exact"/>
        <w:ind w:firstLine="4800" w:firstLineChars="1500"/>
        <w:jc w:val="both"/>
        <w:textAlignment w:val="auto"/>
        <w:rPr>
          <w:rFonts w:ascii="仿宋_GB2312" w:hAnsi="Helvetica" w:eastAsia="仿宋_GB2312" w:cs="Helvetica"/>
          <w:color w:val="42413C"/>
          <w:kern w:val="0"/>
          <w:sz w:val="32"/>
          <w:szCs w:val="32"/>
        </w:rPr>
      </w:pPr>
      <w:r>
        <w:rPr>
          <w:rFonts w:hint="eastAsia" w:ascii="仿宋_GB2312" w:hAnsi="Helvetica" w:eastAsia="仿宋_GB2312" w:cs="Helvetica"/>
          <w:color w:val="42413C"/>
          <w:kern w:val="0"/>
          <w:sz w:val="32"/>
          <w:szCs w:val="32"/>
          <w:lang w:eastAsia="zh-CN"/>
        </w:rPr>
        <w:t>哈尔滨市</w:t>
      </w:r>
      <w:r>
        <w:rPr>
          <w:rFonts w:hint="eastAsia" w:ascii="仿宋_GB2312" w:hAnsi="Helvetica" w:eastAsia="仿宋_GB2312" w:cs="Helvetica"/>
          <w:color w:val="42413C"/>
          <w:kern w:val="0"/>
          <w:sz w:val="32"/>
          <w:szCs w:val="32"/>
        </w:rPr>
        <w:t xml:space="preserve">呼兰区教育局        </w:t>
      </w:r>
      <w:r>
        <w:rPr>
          <w:rFonts w:hint="eastAsia" w:ascii="仿宋_GB2312" w:hAnsi="Helvetica" w:eastAsia="仿宋_GB2312" w:cs="Helvetica"/>
          <w:color w:val="42413C"/>
          <w:kern w:val="0"/>
          <w:sz w:val="32"/>
          <w:szCs w:val="32"/>
          <w:lang w:val="en-US" w:eastAsia="zh-CN"/>
        </w:rPr>
        <w:t xml:space="preserve">                             </w:t>
      </w:r>
      <w:r>
        <w:rPr>
          <w:rFonts w:hint="eastAsia" w:ascii="仿宋_GB2312" w:hAnsi="Helvetica" w:eastAsia="仿宋_GB2312" w:cs="Helvetica"/>
          <w:color w:val="42413C"/>
          <w:kern w:val="0"/>
          <w:sz w:val="32"/>
          <w:szCs w:val="32"/>
        </w:rPr>
        <w:t xml:space="preserve">2024年1月18日      </w:t>
      </w:r>
    </w:p>
    <w:sectPr>
      <w:footerReference r:id="rId6" w:type="first"/>
      <w:footerReference r:id="rId4" w:type="default"/>
      <w:headerReference r:id="rId3" w:type="even"/>
      <w:footerReference r:id="rId5" w:type="even"/>
      <w:pgSz w:w="11906" w:h="16838"/>
      <w:pgMar w:top="2098" w:right="1474" w:bottom="1984" w:left="158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49343"/>
    <w:multiLevelType w:val="singleLevel"/>
    <w:tmpl w:val="D9E493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yMDI0OGI3YWQ2YzA3NmViNGMyMWRhYTUwMzg5MzAifQ=="/>
  </w:docVars>
  <w:rsids>
    <w:rsidRoot w:val="00657FA0"/>
    <w:rsid w:val="0016525A"/>
    <w:rsid w:val="001960B0"/>
    <w:rsid w:val="003575A3"/>
    <w:rsid w:val="00493EC3"/>
    <w:rsid w:val="005C526E"/>
    <w:rsid w:val="00657FA0"/>
    <w:rsid w:val="00775DD2"/>
    <w:rsid w:val="00884077"/>
    <w:rsid w:val="008C6837"/>
    <w:rsid w:val="00907BB9"/>
    <w:rsid w:val="009B58CA"/>
    <w:rsid w:val="00A90F27"/>
    <w:rsid w:val="00A97F77"/>
    <w:rsid w:val="00AD7B48"/>
    <w:rsid w:val="00BD3A62"/>
    <w:rsid w:val="00CF393E"/>
    <w:rsid w:val="00E84A94"/>
    <w:rsid w:val="011C626C"/>
    <w:rsid w:val="07B76CEE"/>
    <w:rsid w:val="102D5D9F"/>
    <w:rsid w:val="2C916710"/>
    <w:rsid w:val="2DF077AA"/>
    <w:rsid w:val="31201969"/>
    <w:rsid w:val="32006F4B"/>
    <w:rsid w:val="325035D5"/>
    <w:rsid w:val="3A555D6F"/>
    <w:rsid w:val="3B9A453C"/>
    <w:rsid w:val="41A66F5F"/>
    <w:rsid w:val="477C68EF"/>
    <w:rsid w:val="47911F01"/>
    <w:rsid w:val="47C63E08"/>
    <w:rsid w:val="487122C7"/>
    <w:rsid w:val="527360BE"/>
    <w:rsid w:val="53A96AB8"/>
    <w:rsid w:val="715934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9"/>
    <w:unhideWhenUsed/>
    <w:qFormat/>
    <w:uiPriority w:val="99"/>
    <w:rPr>
      <w:rFonts w:ascii="Calibri" w:hAnsi="Calibri" w:eastAsia="宋体" w:cs="Times New Roman"/>
      <w:szCs w:val="24"/>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kern w:val="2"/>
      <w:sz w:val="18"/>
      <w:szCs w:val="18"/>
    </w:rPr>
  </w:style>
  <w:style w:type="character" w:customStyle="1" w:styleId="8">
    <w:name w:val="页脚 Char"/>
    <w:basedOn w:val="6"/>
    <w:link w:val="3"/>
    <w:semiHidden/>
    <w:qFormat/>
    <w:uiPriority w:val="99"/>
    <w:rPr>
      <w:kern w:val="2"/>
      <w:sz w:val="18"/>
      <w:szCs w:val="18"/>
    </w:rPr>
  </w:style>
  <w:style w:type="character" w:customStyle="1" w:styleId="9">
    <w:name w:val="称呼 Char"/>
    <w:basedOn w:val="6"/>
    <w:link w:val="2"/>
    <w:qFormat/>
    <w:uiPriority w:val="99"/>
    <w:rPr>
      <w:rFonts w:ascii="Calibri" w:hAnsi="Calibri" w:eastAsia="宋体" w:cs="Times New Roman"/>
      <w:kern w:val="2"/>
      <w:sz w:val="21"/>
      <w:szCs w:val="24"/>
    </w:rPr>
  </w:style>
  <w:style w:type="paragraph" w:customStyle="1" w:styleId="10">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9"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403</Words>
  <Characters>2301</Characters>
  <Lines>19</Lines>
  <Paragraphs>5</Paragraphs>
  <TotalTime>24</TotalTime>
  <ScaleCrop>false</ScaleCrop>
  <LinksUpToDate>false</LinksUpToDate>
  <CharactersWithSpaces>2699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2022-11-09T06:21:00Z</dcterms:created>
  <dc:creator>gsjlzh@126.com</dc:creator>
  <cp:lastModifiedBy>lenovo</cp:lastModifiedBy>
  <cp:lastPrinted>2024-01-23T01:36:00Z</cp:lastPrinted>
  <dcterms:modified xsi:type="dcterms:W3CDTF">2024-02-19T02:44:32Z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A4FC8CE452A44D909648FC59FD1EFA72</vt:lpwstr>
  </property>
</Properties>
</file>