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olor w:val="000000"/>
          <w:sz w:val="44"/>
          <w:lang w:eastAsia="zh-CN"/>
        </w:rPr>
      </w:pPr>
      <w:r>
        <w:rPr>
          <w:rFonts w:hint="eastAsia" w:ascii="方正小标宋简体" w:hAnsi="宋体" w:eastAsia="方正小标宋简体"/>
          <w:color w:val="000000"/>
          <w:sz w:val="44"/>
          <w:lang w:val="en-US" w:eastAsia="zh-CN"/>
        </w:rPr>
        <w:t>呼兰区审计局</w:t>
      </w:r>
      <w:r>
        <w:rPr>
          <w:rFonts w:hint="eastAsia" w:ascii="方正小标宋简体" w:hAnsi="宋体" w:eastAsia="方正小标宋简体"/>
          <w:color w:val="000000"/>
          <w:sz w:val="44"/>
          <w:lang w:eastAsia="zh-CN"/>
        </w:rPr>
        <w:t>2023年度法治政府建设</w:t>
      </w:r>
    </w:p>
    <w:p>
      <w:pPr>
        <w:spacing w:line="560" w:lineRule="exact"/>
        <w:jc w:val="center"/>
        <w:rPr>
          <w:rFonts w:ascii="仿宋_GB2312" w:hAnsi="仿宋_GB2312" w:eastAsia="仿宋_GB2312" w:cs="仿宋_GB2312"/>
          <w:sz w:val="32"/>
          <w:szCs w:val="32"/>
        </w:rPr>
      </w:pPr>
      <w:r>
        <w:rPr>
          <w:rFonts w:hint="eastAsia" w:ascii="方正小标宋简体" w:hAnsi="宋体" w:eastAsia="方正小标宋简体"/>
          <w:color w:val="000000"/>
          <w:sz w:val="44"/>
          <w:lang w:eastAsia="zh-CN"/>
        </w:rPr>
        <w:t>情况报告</w:t>
      </w:r>
      <w:r>
        <w:rPr>
          <w:rFonts w:ascii="方正小标宋简体" w:hAnsi="宋体" w:eastAsia="方正小标宋简体"/>
          <w:color w:val="000000"/>
          <w:sz w:val="44"/>
        </w:rPr>
        <w:t xml:space="preserve">  </w:t>
      </w:r>
    </w:p>
    <w:p>
      <w:pPr>
        <w:rPr>
          <w:rFonts w:ascii="仿宋_GB2312" w:hAnsi="仿宋_GB2312" w:eastAsia="仿宋_GB2312" w:cs="仿宋_GB2312"/>
          <w:sz w:val="32"/>
          <w:szCs w:val="32"/>
        </w:rPr>
      </w:pPr>
    </w:p>
    <w:p>
      <w:pPr>
        <w:autoSpaceDE w:val="0"/>
        <w:spacing w:beforeLines="0" w:afterLines="0" w:line="560" w:lineRule="exact"/>
        <w:rPr>
          <w:rFonts w:hint="eastAsia" w:ascii="仿宋_GB2312" w:hAnsi="Times New Roman" w:eastAsia="仿宋_GB2312" w:cs="仿宋_GB2312"/>
          <w:sz w:val="32"/>
          <w:szCs w:val="32"/>
          <w:lang w:eastAsia="zh-CN" w:bidi="ar"/>
        </w:rPr>
      </w:pPr>
      <w:r>
        <w:rPr>
          <w:rFonts w:hint="eastAsia" w:ascii="仿宋_GB2312" w:hAnsi="Times New Roman" w:eastAsia="仿宋_GB2312" w:cs="仿宋_GB2312"/>
          <w:sz w:val="32"/>
          <w:szCs w:val="32"/>
          <w:lang w:val="en-US" w:eastAsia="zh-CN" w:bidi="ar"/>
        </w:rPr>
        <w:t>区</w:t>
      </w:r>
      <w:r>
        <w:rPr>
          <w:rFonts w:hint="eastAsia" w:ascii="仿宋_GB2312" w:hAnsi="Times New Roman" w:eastAsia="仿宋_GB2312" w:cs="仿宋_GB2312"/>
          <w:sz w:val="32"/>
          <w:szCs w:val="32"/>
          <w:lang w:eastAsia="zh-CN" w:bidi="ar"/>
        </w:rPr>
        <w:t>政府：</w:t>
      </w:r>
    </w:p>
    <w:p>
      <w:pPr>
        <w:rPr>
          <w:rFonts w:hint="default" w:ascii="仿宋_GB2312" w:hAnsi="Times New Roman" w:eastAsia="仿宋_GB2312" w:cs="仿宋_GB2312"/>
          <w:sz w:val="32"/>
          <w:szCs w:val="32"/>
          <w:lang w:val="en-US" w:eastAsia="zh-CN" w:bidi="ar"/>
        </w:rPr>
      </w:pPr>
      <w:r>
        <w:rPr>
          <w:rFonts w:hint="eastAsia"/>
          <w:lang w:val="en-US" w:eastAsia="zh-CN"/>
        </w:rPr>
        <w:t xml:space="preserve">      </w:t>
      </w:r>
      <w:r>
        <w:rPr>
          <w:rFonts w:hint="eastAsia" w:ascii="仿宋_GB2312" w:hAnsi="Times New Roman" w:eastAsia="仿宋_GB2312" w:cs="仿宋_GB2312"/>
          <w:sz w:val="32"/>
          <w:szCs w:val="32"/>
          <w:lang w:val="en-US" w:eastAsia="zh-CN" w:bidi="ar"/>
        </w:rPr>
        <w:t>2023年，呼兰区审计局在区委、区政府和上级审计机关的坚强领导下，坚持以习近平新时代中国特色社会主义思想为指导，把法治建设和审计工作有效结合，进一步提升依法行政能力和水平，严格全面履行审计监督职责，充分发挥审计在党和国家监督体系中的重要作用。现将2023年法治政府建设工作情况报告如下。</w:t>
      </w:r>
    </w:p>
    <w:p>
      <w:pPr>
        <w:numPr>
          <w:ilvl w:val="0"/>
          <w:numId w:val="1"/>
        </w:numPr>
        <w:autoSpaceDE w:val="0"/>
        <w:spacing w:beforeLines="0" w:afterLines="0" w:line="560" w:lineRule="exact"/>
        <w:ind w:left="0" w:leftChars="0" w:firstLine="640" w:firstLineChars="200"/>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2023年度推进法治政府建设的主要举措和成效；</w:t>
      </w:r>
    </w:p>
    <w:p>
      <w:pPr>
        <w:keepNext w:val="0"/>
        <w:keepLines w:val="0"/>
        <w:pageBreakBefore w:val="0"/>
        <w:widowControl w:val="0"/>
        <w:numPr>
          <w:ilvl w:val="0"/>
          <w:numId w:val="0"/>
        </w:numPr>
        <w:tabs>
          <w:tab w:val="left" w:pos="322"/>
        </w:tabs>
        <w:kinsoku/>
        <w:wordWrap/>
        <w:overflowPunct/>
        <w:topLinePunct w:val="0"/>
        <w:autoSpaceDE/>
        <w:autoSpaceDN/>
        <w:bidi w:val="0"/>
        <w:adjustRightInd/>
        <w:snapToGrid/>
        <w:spacing w:line="600" w:lineRule="exact"/>
        <w:ind w:right="0" w:rightChars="0" w:firstLine="420" w:firstLineChars="200"/>
        <w:jc w:val="both"/>
        <w:textAlignment w:val="auto"/>
        <w:outlineLvl w:val="9"/>
        <w:rPr>
          <w:rFonts w:hint="eastAsia" w:ascii="楷体_GB2312" w:hAnsi="Times New Roman" w:eastAsia="楷体_GB2312" w:cs="楷体_GB2312"/>
          <w:sz w:val="32"/>
          <w:szCs w:val="32"/>
          <w:lang w:val="en-US" w:eastAsia="zh-CN" w:bidi="ar"/>
        </w:rPr>
      </w:pPr>
      <w:r>
        <w:rPr>
          <w:rFonts w:hint="eastAsia"/>
          <w:lang w:val="en-US" w:eastAsia="zh-CN"/>
        </w:rPr>
        <w:t xml:space="preserve"> </w:t>
      </w:r>
      <w:r>
        <w:rPr>
          <w:rFonts w:hint="eastAsia" w:ascii="楷体_GB2312" w:hAnsi="Times New Roman" w:eastAsia="楷体_GB2312" w:cs="楷体_GB2312"/>
          <w:sz w:val="32"/>
          <w:szCs w:val="32"/>
          <w:lang w:val="en-US" w:eastAsia="zh-CN" w:bidi="ar"/>
        </w:rPr>
        <w:t>（一）优化政府机构职能。</w:t>
      </w:r>
    </w:p>
    <w:p>
      <w:pPr>
        <w:pStyle w:val="2"/>
        <w:widowControl w:val="0"/>
        <w:numPr>
          <w:ilvl w:val="0"/>
          <w:numId w:val="0"/>
        </w:numPr>
        <w:ind w:firstLine="623"/>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坚持依法审计，充分发挥“经济体检”作用。严格按照区委审计委员会审议批准的《呼兰区审计局2023年度审计项目计划》实施审计。聚焦重要领域和关键环节，加强重大政策落实和重点项目、财政资金、民生领域、领导干部权力运行的监督，抓实抓好预算执行审计、政策跟踪审计、民生审计、政府投资审计和经济责任审计。2023年共完成审计项目26个，审计发现问题97个，查出主要问题金额4853.09万元，提出审计建议68条。</w:t>
      </w:r>
    </w:p>
    <w:p>
      <w:pPr>
        <w:keepNext w:val="0"/>
        <w:keepLines w:val="0"/>
        <w:pageBreakBefore w:val="0"/>
        <w:widowControl w:val="0"/>
        <w:numPr>
          <w:ilvl w:val="0"/>
          <w:numId w:val="0"/>
        </w:numPr>
        <w:tabs>
          <w:tab w:val="left" w:pos="322"/>
        </w:tab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hAnsi="Times New Roman" w:eastAsia="楷体_GB2312" w:cs="楷体_GB2312"/>
          <w:sz w:val="32"/>
          <w:szCs w:val="32"/>
          <w:lang w:val="en-US" w:eastAsia="zh-CN" w:bidi="ar"/>
        </w:rPr>
      </w:pPr>
      <w:r>
        <w:rPr>
          <w:rFonts w:hint="eastAsia" w:ascii="楷体_GB2312" w:hAnsi="Times New Roman" w:eastAsia="楷体_GB2312" w:cs="楷体_GB2312"/>
          <w:sz w:val="32"/>
          <w:szCs w:val="32"/>
          <w:lang w:val="en-US" w:eastAsia="zh-CN" w:bidi="ar"/>
        </w:rPr>
        <w:t>（二）</w:t>
      </w:r>
      <w:r>
        <w:rPr>
          <w:rFonts w:hint="default" w:ascii="楷体_GB2312" w:hAnsi="Times New Roman" w:eastAsia="楷体_GB2312" w:cs="楷体_GB2312"/>
          <w:sz w:val="32"/>
          <w:szCs w:val="32"/>
          <w:lang w:val="en-US" w:eastAsia="zh-CN" w:bidi="ar"/>
        </w:rPr>
        <w:t>完善</w:t>
      </w:r>
      <w:r>
        <w:rPr>
          <w:rFonts w:hint="eastAsia" w:ascii="楷体_GB2312" w:hAnsi="Times New Roman" w:eastAsia="楷体_GB2312" w:cs="楷体_GB2312"/>
          <w:sz w:val="32"/>
          <w:szCs w:val="32"/>
          <w:lang w:val="en-US" w:eastAsia="zh-CN" w:bidi="ar"/>
        </w:rPr>
        <w:t>依法行政制度体系。</w:t>
      </w:r>
    </w:p>
    <w:p>
      <w:pPr>
        <w:pStyle w:val="2"/>
        <w:widowControl w:val="0"/>
        <w:numPr>
          <w:ilvl w:val="0"/>
          <w:numId w:val="0"/>
        </w:numPr>
        <w:ind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强化质量控制，审计质效得到全面提升。一是加强对审计科室人员业务指导，开展对审计项目质量检查，“对症下药”开展培训。针对典型性问题、苗头性问题、倾向性问题，“惩前毖后”点名通报，促进全区审计业务质量共同提升。二是强化审计精品意识，做好全区优秀审计项目评选工作，打造优秀审计项目，积极向上级审计机关推荐报送精品项目。三是跟踪督促整改，做好审计工作“下半篇文章”。出台</w:t>
      </w:r>
      <w:r>
        <w:rPr>
          <w:rFonts w:hint="eastAsia" w:ascii="仿宋_GB2312" w:eastAsia="仿宋_GB2312"/>
          <w:sz w:val="32"/>
          <w:szCs w:val="32"/>
        </w:rPr>
        <w:t>《呼兰区审计发现问题整改工作的意见》</w:t>
      </w:r>
      <w:r>
        <w:rPr>
          <w:rFonts w:hint="eastAsia" w:ascii="仿宋_GB2312" w:hAnsi="Times New Roman" w:eastAsia="仿宋_GB2312" w:cs="仿宋_GB2312"/>
          <w:kern w:val="2"/>
          <w:sz w:val="32"/>
          <w:szCs w:val="32"/>
          <w:lang w:val="en-US" w:eastAsia="zh-CN" w:bidi="ar"/>
        </w:rPr>
        <w:t>，抓好问题确认、整改认定及销号、督促检查及追责等关键环节，实现整改闭环。</w:t>
      </w:r>
    </w:p>
    <w:p>
      <w:pPr>
        <w:keepNext w:val="0"/>
        <w:keepLines w:val="0"/>
        <w:pageBreakBefore w:val="0"/>
        <w:widowControl w:val="0"/>
        <w:numPr>
          <w:ilvl w:val="0"/>
          <w:numId w:val="0"/>
        </w:numPr>
        <w:tabs>
          <w:tab w:val="left" w:pos="322"/>
        </w:tab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hAnsi="Times New Roman" w:eastAsia="楷体_GB2312" w:cs="楷体_GB2312"/>
          <w:sz w:val="32"/>
          <w:szCs w:val="32"/>
          <w:lang w:val="en-US" w:eastAsia="zh-CN" w:bidi="ar"/>
        </w:rPr>
      </w:pPr>
      <w:r>
        <w:rPr>
          <w:rFonts w:hint="eastAsia" w:ascii="楷体_GB2312" w:hAnsi="Times New Roman" w:eastAsia="楷体_GB2312" w:cs="楷体_GB2312"/>
          <w:sz w:val="32"/>
          <w:szCs w:val="32"/>
          <w:lang w:val="en-US" w:eastAsia="zh-CN" w:bidi="ar"/>
        </w:rPr>
        <w:t>（三）</w:t>
      </w:r>
      <w:r>
        <w:rPr>
          <w:rFonts w:hint="default" w:ascii="楷体_GB2312" w:hAnsi="Times New Roman" w:eastAsia="楷体_GB2312" w:cs="楷体_GB2312"/>
          <w:sz w:val="32"/>
          <w:szCs w:val="32"/>
          <w:lang w:val="en-US" w:eastAsia="zh-CN" w:bidi="ar"/>
        </w:rPr>
        <w:t>健全</w:t>
      </w:r>
      <w:r>
        <w:rPr>
          <w:rFonts w:hint="eastAsia" w:ascii="楷体_GB2312" w:hAnsi="Times New Roman" w:eastAsia="楷体_GB2312" w:cs="楷体_GB2312"/>
          <w:sz w:val="32"/>
          <w:szCs w:val="32"/>
          <w:lang w:val="en-US" w:eastAsia="zh-CN" w:bidi="ar"/>
        </w:rPr>
        <w:t>行政决策制度建设。</w:t>
      </w:r>
    </w:p>
    <w:p>
      <w:pPr>
        <w:pStyle w:val="2"/>
        <w:widowControl w:val="0"/>
        <w:numPr>
          <w:ilvl w:val="0"/>
          <w:numId w:val="0"/>
        </w:numPr>
        <w:ind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认真落实重大行政决策程序相关规定和重大事项集体研究制度，严格按照区审计局党组印发的《“三重一大”事项决策制度实施细则》，规范决策程序。严格执行《审计局业务会议制度》，对审计工作方案、项目实施方案、审计报告、审计决定、审计过程中发现的重大违法违纪违规问题等事项，均提交局审计业务会集体讨论、集体决策。</w:t>
      </w:r>
    </w:p>
    <w:p>
      <w:pPr>
        <w:keepNext w:val="0"/>
        <w:keepLines w:val="0"/>
        <w:pageBreakBefore w:val="0"/>
        <w:widowControl w:val="0"/>
        <w:numPr>
          <w:ilvl w:val="0"/>
          <w:numId w:val="0"/>
        </w:numPr>
        <w:tabs>
          <w:tab w:val="left" w:pos="322"/>
        </w:tab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hAnsi="Times New Roman" w:eastAsia="楷体_GB2312" w:cs="楷体_GB2312"/>
          <w:sz w:val="32"/>
          <w:szCs w:val="32"/>
          <w:lang w:val="en-US" w:eastAsia="zh-CN" w:bidi="ar"/>
        </w:rPr>
      </w:pPr>
      <w:r>
        <w:rPr>
          <w:rFonts w:hint="eastAsia" w:ascii="楷体_GB2312" w:hAnsi="Times New Roman" w:eastAsia="楷体_GB2312" w:cs="楷体_GB2312"/>
          <w:sz w:val="32"/>
          <w:szCs w:val="32"/>
          <w:lang w:val="en-US" w:eastAsia="zh-CN" w:bidi="ar"/>
        </w:rPr>
        <w:t>（四）</w:t>
      </w:r>
      <w:r>
        <w:rPr>
          <w:rFonts w:hint="default" w:ascii="楷体_GB2312" w:hAnsi="Times New Roman" w:eastAsia="楷体_GB2312" w:cs="楷体_GB2312"/>
          <w:sz w:val="32"/>
          <w:szCs w:val="32"/>
          <w:lang w:val="en-US" w:eastAsia="zh-CN" w:bidi="ar"/>
        </w:rPr>
        <w:t>严格推进</w:t>
      </w:r>
      <w:r>
        <w:rPr>
          <w:rFonts w:hint="eastAsia" w:ascii="楷体_GB2312" w:hAnsi="Times New Roman" w:eastAsia="楷体_GB2312" w:cs="楷体_GB2312"/>
          <w:sz w:val="32"/>
          <w:szCs w:val="32"/>
          <w:lang w:val="en-US" w:eastAsia="zh-CN" w:bidi="ar"/>
        </w:rPr>
        <w:t>行政执法工作。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依法开展审计，在区委审计委员会的坚强领导和市审计局的业务指导下，完成预算执行、经济责任、自然资源资产等审计和其他临时性交办工作。深化审计监督与纪检监察监督、巡视巡察监督的贯通协同，选派审计干部配合参与巡视巡察等，充分调动内审监督力量。建立审计质量最后一道防线，实施“两阶段”审理全覆盖，筑牢审计质量生命线，全年无行政复议、行政应诉案件发生。</w:t>
      </w:r>
    </w:p>
    <w:p>
      <w:pPr>
        <w:keepNext w:val="0"/>
        <w:keepLines w:val="0"/>
        <w:pageBreakBefore w:val="0"/>
        <w:widowControl w:val="0"/>
        <w:numPr>
          <w:ilvl w:val="0"/>
          <w:numId w:val="0"/>
        </w:numPr>
        <w:tabs>
          <w:tab w:val="left" w:pos="322"/>
        </w:tab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hAnsi="Times New Roman" w:eastAsia="楷体_GB2312" w:cs="楷体_GB2312"/>
          <w:sz w:val="32"/>
          <w:szCs w:val="32"/>
          <w:lang w:val="en-US" w:eastAsia="zh-CN" w:bidi="ar"/>
        </w:rPr>
      </w:pPr>
      <w:r>
        <w:rPr>
          <w:rFonts w:hint="eastAsia" w:ascii="楷体_GB2312" w:hAnsi="Times New Roman" w:eastAsia="楷体_GB2312" w:cs="楷体_GB2312"/>
          <w:sz w:val="32"/>
          <w:szCs w:val="32"/>
          <w:lang w:val="en-US" w:eastAsia="zh-CN" w:bidi="ar"/>
        </w:rPr>
        <w:t>（五）依法有效化解社会矛盾纠纷。</w:t>
      </w:r>
    </w:p>
    <w:p>
      <w:pPr>
        <w:pStyle w:val="2"/>
        <w:widowControl w:val="0"/>
        <w:numPr>
          <w:ilvl w:val="0"/>
          <w:numId w:val="0"/>
        </w:numPr>
        <w:ind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在政府投资、预算执行、经济责任等审计项目中，将政府采购、招投标等领域不合理限制以及拖欠民营企业账款等作为审计内容和重点，揭示制约各类市场主体平等竞争、公平发展的弱项和短板，进一步激发市场主体活力，化解社会矛盾纠纷。</w:t>
      </w:r>
    </w:p>
    <w:p>
      <w:pPr>
        <w:keepNext w:val="0"/>
        <w:keepLines w:val="0"/>
        <w:pageBreakBefore w:val="0"/>
        <w:widowControl w:val="0"/>
        <w:numPr>
          <w:ilvl w:val="0"/>
          <w:numId w:val="0"/>
        </w:numPr>
        <w:tabs>
          <w:tab w:val="left" w:pos="322"/>
        </w:tab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hAnsi="Times New Roman" w:eastAsia="楷体_GB2312" w:cs="楷体_GB2312"/>
          <w:sz w:val="32"/>
          <w:szCs w:val="32"/>
          <w:lang w:val="en-US" w:eastAsia="zh-CN" w:bidi="ar"/>
        </w:rPr>
      </w:pPr>
      <w:r>
        <w:rPr>
          <w:rFonts w:hint="eastAsia" w:ascii="楷体_GB2312" w:hAnsi="Times New Roman" w:eastAsia="楷体_GB2312" w:cs="楷体_GB2312"/>
          <w:sz w:val="32"/>
          <w:szCs w:val="32"/>
          <w:lang w:val="en-US" w:eastAsia="zh-CN" w:bidi="ar"/>
        </w:rPr>
        <w:t>（六）</w:t>
      </w:r>
      <w:r>
        <w:rPr>
          <w:rFonts w:hint="default" w:ascii="楷体_GB2312" w:hAnsi="Times New Roman" w:eastAsia="楷体_GB2312" w:cs="楷体_GB2312"/>
          <w:sz w:val="32"/>
          <w:szCs w:val="32"/>
          <w:lang w:val="en-US" w:eastAsia="zh-CN" w:bidi="ar"/>
        </w:rPr>
        <w:t>规范对</w:t>
      </w:r>
      <w:r>
        <w:rPr>
          <w:rFonts w:hint="eastAsia" w:ascii="楷体_GB2312" w:hAnsi="Times New Roman" w:eastAsia="楷体_GB2312" w:cs="楷体_GB2312"/>
          <w:sz w:val="32"/>
          <w:szCs w:val="32"/>
          <w:lang w:val="en-US" w:eastAsia="zh-CN" w:bidi="ar"/>
        </w:rPr>
        <w:t>行政权力制约和监督。</w:t>
      </w:r>
    </w:p>
    <w:p>
      <w:pPr>
        <w:ind w:firstLine="623"/>
        <w:rPr>
          <w:rFonts w:hint="eastAsia" w:ascii="仿宋" w:hAnsi="仿宋" w:eastAsia="仿宋" w:cs="仿宋"/>
          <w:b w:val="0"/>
          <w:bCs w:val="0"/>
          <w:color w:val="auto"/>
          <w:sz w:val="32"/>
          <w:szCs w:val="32"/>
          <w:u w:val="none"/>
          <w:lang w:eastAsia="zh-CN"/>
        </w:rPr>
      </w:pPr>
      <w:r>
        <w:rPr>
          <w:rFonts w:hint="eastAsia" w:ascii="仿宋_GB2312" w:hAnsi="Times New Roman" w:eastAsia="仿宋_GB2312" w:cs="仿宋_GB2312"/>
          <w:kern w:val="2"/>
          <w:sz w:val="32"/>
          <w:szCs w:val="32"/>
          <w:lang w:val="en-US" w:eastAsia="zh-CN" w:bidi="ar"/>
        </w:rPr>
        <w:t>区</w:t>
      </w:r>
      <w:r>
        <w:rPr>
          <w:rFonts w:hint="default" w:ascii="仿宋_GB2312" w:hAnsi="Times New Roman" w:eastAsia="仿宋_GB2312" w:cs="仿宋_GB2312"/>
          <w:kern w:val="2"/>
          <w:sz w:val="32"/>
          <w:szCs w:val="32"/>
          <w:lang w:val="en-US" w:eastAsia="zh-CN" w:bidi="ar"/>
        </w:rPr>
        <w:t>审计局始终把作风建设和廉政建设作为审计工作健康发展的重要保障，深入贯彻中央八项规定精神，全面落实领导干部“一岗双责”制度，构建教育、制度、监督、责任四位一体工作机制，大力培育“知荣耻、守纪律、拒腐败、树新风”的审计廉政文化，筑牢思想防线，严格实行审计廉政纪律监督制度，加强对审计组执行“四严禁”工作要求、“八不准”工作纪律情况的监督检查，实行审计工作廉政跟踪检查与回访制度，主动接受社会各界监督，使审计人员坚守底线，不做、不想违纪违规的事，形成了浓厚的遵守法律、崇尚法律、依法审计、廉洁从审、文明执审的良好法治氛围。</w:t>
      </w:r>
    </w:p>
    <w:p>
      <w:pPr>
        <w:keepNext w:val="0"/>
        <w:keepLines w:val="0"/>
        <w:pageBreakBefore w:val="0"/>
        <w:widowControl w:val="0"/>
        <w:numPr>
          <w:ilvl w:val="0"/>
          <w:numId w:val="0"/>
        </w:numPr>
        <w:tabs>
          <w:tab w:val="left" w:pos="322"/>
        </w:tab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hAnsi="Times New Roman" w:eastAsia="楷体_GB2312" w:cs="楷体_GB2312"/>
          <w:sz w:val="32"/>
          <w:szCs w:val="32"/>
          <w:lang w:val="en-US" w:eastAsia="zh-CN" w:bidi="ar"/>
        </w:rPr>
      </w:pPr>
      <w:r>
        <w:rPr>
          <w:rFonts w:hint="eastAsia" w:ascii="楷体_GB2312" w:hAnsi="Times New Roman" w:eastAsia="楷体_GB2312" w:cs="楷体_GB2312"/>
          <w:sz w:val="32"/>
          <w:szCs w:val="32"/>
          <w:lang w:val="en-US" w:eastAsia="zh-CN" w:bidi="ar"/>
        </w:rPr>
        <w:t>（七）全面推进普法宣传教育。</w:t>
      </w:r>
    </w:p>
    <w:p>
      <w:pPr>
        <w:pStyle w:val="2"/>
        <w:widowControl w:val="0"/>
        <w:numPr>
          <w:ilvl w:val="0"/>
          <w:numId w:val="0"/>
        </w:numPr>
        <w:ind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区审计局始终不懈地抓好审计法治政府建设和宣传工作，要求审计人员要及时掌握党和国家的政策方针、财经法规，加强知识学习、积极探索审计手段、开拓审计思维、勇于创新审计方式，具有过硬的审计业务本领和较高的法治水平。局党组带头认真学法，推动全局审计人员深入学习习近平总书记关于全面依法治国的重要论述、宪法及各项法律法规、党内重要法规及与审计业务相关的法律法规，并积极组织干部职工参加法制培训和考试，将法治宣传教育与各项实际工作结合起来，融入日常工作中。充分利用“审计进点会”和“审计反馈会”，向被审计单位进行相关财经法规的宣传，切实做到“谁执法谁普法”工作要求。审计过程中热情为各单位财会人员答疑解惑，解决他们在工作生活中遇到的财经法律难题。</w:t>
      </w:r>
    </w:p>
    <w:p>
      <w:pPr>
        <w:numPr>
          <w:ilvl w:val="0"/>
          <w:numId w:val="1"/>
        </w:numPr>
        <w:autoSpaceDE w:val="0"/>
        <w:spacing w:beforeLines="0" w:afterLines="0" w:line="560" w:lineRule="exact"/>
        <w:ind w:left="0" w:leftChars="0" w:firstLine="640" w:firstLineChars="200"/>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2023年度推进法治政府建设存在的不足和原因；</w:t>
      </w:r>
    </w:p>
    <w:p>
      <w:pPr>
        <w:pStyle w:val="2"/>
        <w:widowControl w:val="0"/>
        <w:numPr>
          <w:ilvl w:val="0"/>
          <w:numId w:val="0"/>
        </w:numPr>
        <w:ind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一年来，全局法治建设工作总体推进有序，但也存在一些短板需要持续改善。一是虽然积极开展法治宣传，但宣传形式不够丰富。二是审计项目虽然取得一定成果，但审计人员对讲好审计法治故事经验不足，法治文化创新需进一步加强。</w:t>
      </w:r>
    </w:p>
    <w:p>
      <w:pPr>
        <w:numPr>
          <w:ilvl w:val="0"/>
          <w:numId w:val="1"/>
        </w:numPr>
        <w:autoSpaceDE w:val="0"/>
        <w:spacing w:beforeLines="0" w:afterLines="0" w:line="560" w:lineRule="exact"/>
        <w:ind w:left="0" w:leftChars="0" w:firstLine="640" w:firstLineChars="200"/>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2023年度党政主要负责人履行推进法治建设第一责任人职责，加强法治政府建设的有关情况；</w:t>
      </w:r>
    </w:p>
    <w:p>
      <w:pPr>
        <w:pStyle w:val="2"/>
        <w:widowControl w:val="0"/>
        <w:numPr>
          <w:ilvl w:val="0"/>
          <w:numId w:val="0"/>
        </w:numPr>
        <w:jc w:val="both"/>
        <w:rPr>
          <w:rFonts w:hint="default" w:ascii="仿宋_GB2312" w:hAnsi="Times New Roman" w:eastAsia="仿宋_GB2312" w:cs="仿宋_GB2312"/>
          <w:kern w:val="2"/>
          <w:sz w:val="32"/>
          <w:szCs w:val="32"/>
          <w:lang w:val="en-US" w:eastAsia="zh-CN" w:bidi="ar"/>
        </w:rPr>
      </w:pPr>
      <w:r>
        <w:rPr>
          <w:rFonts w:hint="eastAsia"/>
          <w:lang w:val="en-US" w:eastAsia="zh-CN"/>
        </w:rPr>
        <w:t xml:space="preserve">    </w:t>
      </w:r>
      <w:r>
        <w:rPr>
          <w:rFonts w:hint="eastAsia" w:ascii="仿宋_GB2312" w:hAnsi="Times New Roman" w:eastAsia="仿宋_GB2312" w:cs="仿宋_GB2312"/>
          <w:kern w:val="2"/>
          <w:sz w:val="32"/>
          <w:szCs w:val="32"/>
          <w:lang w:val="en-US" w:eastAsia="zh-CN" w:bidi="ar"/>
        </w:rPr>
        <w:t xml:space="preserve">  区审计局主要负责人高度重视并积极履行推进法治建设第一责任人职责，及时组织学习贯彻习近平法治思想。坚决贯彻落实习近平总书记关于审计法治建设的重要指示精神，多次主持召开党组会研究部署法治工作，把党委、政府关于法治政府建设的各项工作要求认真落实到审计工作的全过程各方面，确保法治建设各项任务落到实处、见到实效。安排制定法治宣传教育计划，全年主持召开党组会、中心组会议学法，充分发挥领导示范作用。局机关重要文书均经局党组书记、局长审签，并将履行推进法治建设第一责任人情况列入年终述职报告，带头尊法学法守法用法。</w:t>
      </w:r>
    </w:p>
    <w:p>
      <w:pPr>
        <w:numPr>
          <w:ilvl w:val="0"/>
          <w:numId w:val="1"/>
        </w:numPr>
        <w:autoSpaceDE w:val="0"/>
        <w:spacing w:beforeLines="0" w:afterLines="0" w:line="560" w:lineRule="exact"/>
        <w:ind w:left="0" w:leftChars="0" w:firstLine="640" w:firstLineChars="200"/>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2024年度推进法治政府建设的主要安排；</w:t>
      </w:r>
    </w:p>
    <w:p>
      <w:pPr>
        <w:pStyle w:val="2"/>
        <w:widowControl w:val="0"/>
        <w:numPr>
          <w:ilvl w:val="0"/>
          <w:numId w:val="0"/>
        </w:numPr>
        <w:jc w:val="both"/>
        <w:rPr>
          <w:rFonts w:hint="eastAsia" w:ascii="仿宋_GB2312" w:hAnsi="Times New Roman" w:eastAsia="仿宋_GB2312" w:cs="仿宋_GB2312"/>
          <w:kern w:val="2"/>
          <w:sz w:val="32"/>
          <w:szCs w:val="32"/>
          <w:lang w:val="en-US" w:eastAsia="zh-CN" w:bidi="ar"/>
        </w:rPr>
      </w:pPr>
      <w:r>
        <w:rPr>
          <w:rFonts w:hint="eastAsia"/>
          <w:lang w:val="en-US" w:eastAsia="zh-CN"/>
        </w:rPr>
        <w:t xml:space="preserve">     </w:t>
      </w:r>
      <w:r>
        <w:rPr>
          <w:rFonts w:hint="eastAsia" w:ascii="仿宋_GB2312" w:hAnsi="Times New Roman" w:eastAsia="仿宋_GB2312" w:cs="仿宋_GB2312"/>
          <w:kern w:val="2"/>
          <w:sz w:val="32"/>
          <w:szCs w:val="32"/>
          <w:lang w:val="en-US" w:eastAsia="zh-CN" w:bidi="ar"/>
        </w:rPr>
        <w:t xml:space="preserve"> 2024年，区审计局将继续深入学习贯彻习近平总书记全面依法治国新理念新思想新战略，对照法治政府建设工作要点及任务清单，牢固树立依法审计理念，高标准推进审计机关法治建设。</w:t>
      </w:r>
    </w:p>
    <w:p>
      <w:pPr>
        <w:pStyle w:val="2"/>
        <w:widowControl w:val="0"/>
        <w:numPr>
          <w:ilvl w:val="0"/>
          <w:numId w:val="0"/>
        </w:numPr>
        <w:ind w:firstLine="640" w:firstLineChars="200"/>
        <w:jc w:val="both"/>
        <w:rPr>
          <w:rFonts w:hint="eastAsia" w:ascii="仿宋_GB2312" w:hAnsi="Times New Roman" w:eastAsia="仿宋_GB2312" w:cs="仿宋_GB2312"/>
          <w:kern w:val="2"/>
          <w:sz w:val="32"/>
          <w:szCs w:val="32"/>
          <w:lang w:val="en-US" w:eastAsia="zh-CN" w:bidi="ar"/>
        </w:rPr>
      </w:pPr>
      <w:r>
        <w:rPr>
          <w:rFonts w:hint="eastAsia" w:ascii="楷体_GB2312" w:hAnsi="Times New Roman" w:eastAsia="楷体_GB2312" w:cs="楷体_GB2312"/>
          <w:kern w:val="2"/>
          <w:sz w:val="32"/>
          <w:szCs w:val="32"/>
          <w:lang w:val="en-US" w:eastAsia="zh-CN" w:bidi="ar"/>
        </w:rPr>
        <w:t>（一）依法全面履行审计监督职责。</w:t>
      </w:r>
      <w:r>
        <w:rPr>
          <w:rFonts w:hint="eastAsia" w:ascii="仿宋_GB2312" w:hAnsi="Times New Roman" w:eastAsia="仿宋_GB2312" w:cs="仿宋_GB2312"/>
          <w:kern w:val="2"/>
          <w:sz w:val="32"/>
          <w:szCs w:val="32"/>
          <w:lang w:val="en-US" w:eastAsia="zh-CN" w:bidi="ar"/>
        </w:rPr>
        <w:t>坚持党对审计工作的集中统一领导，紧紧围绕区委区政府中心工作，科学合理安排审计项目，扎实推进审计全覆盖，深入开展研究型审计，恪守职权边界，提高依法执审能力，进一步强化审计整改，充分发挥审计监督职能作用。</w:t>
      </w:r>
    </w:p>
    <w:p>
      <w:pPr>
        <w:pStyle w:val="2"/>
        <w:widowControl w:val="0"/>
        <w:numPr>
          <w:ilvl w:val="0"/>
          <w:numId w:val="0"/>
        </w:numPr>
        <w:ind w:firstLine="640" w:firstLineChars="200"/>
        <w:jc w:val="both"/>
        <w:rPr>
          <w:rFonts w:hint="eastAsia" w:ascii="仿宋_GB2312" w:hAnsi="Times New Roman" w:eastAsia="仿宋_GB2312" w:cs="仿宋_GB2312"/>
          <w:kern w:val="2"/>
          <w:sz w:val="32"/>
          <w:szCs w:val="32"/>
          <w:lang w:val="en-US" w:eastAsia="zh-CN" w:bidi="ar"/>
        </w:rPr>
      </w:pPr>
      <w:r>
        <w:rPr>
          <w:rFonts w:hint="eastAsia" w:ascii="楷体_GB2312" w:hAnsi="Times New Roman" w:eastAsia="楷体_GB2312" w:cs="楷体_GB2312"/>
          <w:kern w:val="2"/>
          <w:sz w:val="32"/>
          <w:szCs w:val="32"/>
          <w:lang w:val="en-US" w:eastAsia="zh-CN" w:bidi="ar"/>
        </w:rPr>
        <w:t>（二）强化依法审计能力培养。</w:t>
      </w:r>
      <w:r>
        <w:rPr>
          <w:rFonts w:hint="eastAsia" w:ascii="仿宋_GB2312" w:hAnsi="Times New Roman" w:eastAsia="仿宋_GB2312" w:cs="仿宋_GB2312"/>
          <w:kern w:val="2"/>
          <w:sz w:val="32"/>
          <w:szCs w:val="32"/>
          <w:lang w:val="en-US" w:eastAsia="zh-CN" w:bidi="ar"/>
        </w:rPr>
        <w:t>加强审计干部队伍专业能力建设，结合审计实务，练好基本功，培养能查、能说、能写本领。加强审计人员法治培训，让尊法学法守法用法成为审计人员的自觉行动和必备素质，锻造一支专业化、规范化的高素质审计执法队伍。</w:t>
      </w:r>
    </w:p>
    <w:p>
      <w:pPr>
        <w:pStyle w:val="2"/>
        <w:widowControl w:val="0"/>
        <w:numPr>
          <w:ilvl w:val="0"/>
          <w:numId w:val="0"/>
        </w:numPr>
        <w:ind w:firstLine="640" w:firstLineChars="200"/>
        <w:jc w:val="both"/>
        <w:rPr>
          <w:rFonts w:hint="default" w:ascii="仿宋_GB2312" w:hAnsi="Times New Roman" w:eastAsia="仿宋_GB2312" w:cs="仿宋_GB2312"/>
          <w:kern w:val="2"/>
          <w:sz w:val="32"/>
          <w:szCs w:val="32"/>
          <w:lang w:val="en-US" w:eastAsia="zh-CN" w:bidi="ar"/>
        </w:rPr>
      </w:pPr>
      <w:r>
        <w:rPr>
          <w:rFonts w:hint="eastAsia" w:ascii="楷体_GB2312" w:hAnsi="Times New Roman" w:eastAsia="楷体_GB2312" w:cs="楷体_GB2312"/>
          <w:kern w:val="2"/>
          <w:sz w:val="32"/>
          <w:szCs w:val="32"/>
          <w:lang w:val="en-US" w:eastAsia="zh-CN" w:bidi="ar"/>
        </w:rPr>
        <w:t>（三）加大普法宣传教育力度。</w:t>
      </w:r>
      <w:r>
        <w:rPr>
          <w:rFonts w:hint="eastAsia" w:ascii="仿宋_GB2312" w:hAnsi="Times New Roman" w:eastAsia="仿宋_GB2312" w:cs="仿宋_GB2312"/>
          <w:kern w:val="2"/>
          <w:sz w:val="32"/>
          <w:szCs w:val="32"/>
          <w:lang w:val="en-US" w:eastAsia="zh-CN" w:bidi="ar"/>
        </w:rPr>
        <w:t>深入实施普法规划，认真落实普法宣传责任，不断丰富法治宣传载体，切实提高法治宣传活动覆盖面、影响力，扩大法治宣传效果。加强法治文化建设，培养法治文化人才，创新法治理论研究。</w:t>
      </w:r>
    </w:p>
    <w:p>
      <w:pPr>
        <w:pStyle w:val="2"/>
        <w:rPr>
          <w:rFonts w:hint="eastAsia" w:ascii="仿宋_GB2312" w:hAnsi="Times New Roman" w:eastAsia="仿宋_GB2312" w:cs="仿宋_GB2312"/>
          <w:sz w:val="32"/>
          <w:szCs w:val="32"/>
          <w:lang w:val="en-US" w:eastAsia="zh-CN" w:bidi="ar"/>
        </w:rPr>
      </w:pPr>
      <w:r>
        <w:rPr>
          <w:rFonts w:hint="eastAsia" w:ascii="仿宋_GB2312" w:hAnsi="Times New Roman" w:eastAsia="仿宋_GB2312" w:cs="仿宋_GB2312"/>
          <w:sz w:val="32"/>
          <w:szCs w:val="32"/>
          <w:lang w:val="en-US" w:eastAsia="zh-CN" w:bidi="ar"/>
        </w:rPr>
        <w:t xml:space="preserve">                                      呼兰区审计局</w:t>
      </w:r>
    </w:p>
    <w:p>
      <w:pPr>
        <w:rPr>
          <w:rFonts w:hint="default"/>
          <w:lang w:val="en-US" w:eastAsia="zh-CN"/>
        </w:rPr>
      </w:pPr>
      <w:r>
        <w:rPr>
          <w:rFonts w:hint="eastAsia" w:ascii="仿宋_GB2312" w:hAnsi="Times New Roman" w:eastAsia="仿宋_GB2312" w:cs="仿宋_GB2312"/>
          <w:sz w:val="32"/>
          <w:szCs w:val="32"/>
          <w:lang w:val="en-US" w:eastAsia="zh-CN" w:bidi="ar"/>
        </w:rPr>
        <w:t xml:space="preserve">                                    2024年1月31日</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2F264C"/>
    <w:multiLevelType w:val="singleLevel"/>
    <w:tmpl w:val="5F2F26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85279"/>
    <w:rsid w:val="22D8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2024-02-21T02:59:00Z</dcterms:created>
  <dc:creator>lenovo</dc:creator>
  <cp:lastModifiedBy>lenovo</cp:lastModifiedBy>
  <dcterms:modified xsi:type="dcterms:W3CDTF">2024-02-21T03:01:11Z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C1AA4BA8A4A54BAB965957107E79EC92</vt:lpwstr>
  </property>
</Properties>
</file>