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i w:val="0"/>
          <w:caps w:val="0"/>
          <w:color w:val="3D3D3D"/>
          <w:spacing w:val="0"/>
          <w:sz w:val="44"/>
          <w:szCs w:val="44"/>
          <w:shd w:val="clear" w:fill="FFFFFF"/>
        </w:rPr>
      </w:pPr>
      <w:r>
        <w:rPr>
          <w:rFonts w:hint="eastAsia" w:ascii="黑体" w:hAnsi="黑体" w:eastAsia="黑体" w:cs="黑体"/>
          <w:b/>
          <w:i w:val="0"/>
          <w:caps w:val="0"/>
          <w:color w:val="3D3D3D"/>
          <w:spacing w:val="0"/>
          <w:sz w:val="44"/>
          <w:szCs w:val="44"/>
          <w:shd w:val="clear" w:fill="FFFFFF"/>
          <w:lang w:eastAsia="zh-CN"/>
        </w:rPr>
        <w:t>呼兰区杨林乡人民政府2</w:t>
      </w:r>
      <w:r>
        <w:rPr>
          <w:rFonts w:hint="eastAsia" w:ascii="黑体" w:hAnsi="黑体" w:eastAsia="黑体" w:cs="黑体"/>
          <w:b/>
          <w:i w:val="0"/>
          <w:caps w:val="0"/>
          <w:color w:val="3D3D3D"/>
          <w:spacing w:val="0"/>
          <w:sz w:val="44"/>
          <w:szCs w:val="44"/>
          <w:shd w:val="clear" w:fill="FFFFFF"/>
        </w:rPr>
        <w:t>020年政府信息公开工作年度报告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0" w:firstLineChars="200"/>
        <w:rPr>
          <w:rFonts w:hint="eastAsia" w:ascii="仿宋" w:hAnsi="仿宋" w:eastAsia="仿宋" w:cs="仿宋"/>
          <w:i w:val="0"/>
          <w:caps w:val="0"/>
          <w:color w:val="3D3D3D"/>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 w:hAnsi="仿宋" w:eastAsia="仿宋" w:cs="仿宋"/>
          <w:i w:val="0"/>
          <w:caps w:val="0"/>
          <w:color w:val="555555"/>
          <w:spacing w:val="0"/>
          <w:sz w:val="32"/>
          <w:szCs w:val="32"/>
          <w:shd w:val="clear" w:fill="FFFFFF"/>
        </w:rPr>
      </w:pPr>
      <w:r>
        <w:rPr>
          <w:rFonts w:hint="eastAsia" w:ascii="仿宋_GB2312" w:hAnsi="仿宋_GB2312" w:eastAsia="仿宋_GB2312" w:cs="仿宋_GB2312"/>
          <w:color w:val="3D3D3D"/>
          <w:sz w:val="32"/>
          <w:szCs w:val="32"/>
        </w:rPr>
        <w:t>根据新修订的《中华人民共和国政府信息公开条例》（以下简称新《条例》）、《国务院办公厅政府信息与政务公开办公室关于政府信息公开工作年度报告有关事项的通知》（国办公开办函</w:t>
      </w:r>
      <w:r>
        <w:rPr>
          <w:rFonts w:hint="eastAsia" w:ascii="微软雅黑" w:hAnsi="微软雅黑" w:eastAsia="微软雅黑" w:cs="微软雅黑"/>
          <w:color w:val="3D3D3D"/>
          <w:sz w:val="32"/>
          <w:szCs w:val="32"/>
        </w:rPr>
        <w:t>﹝</w:t>
      </w:r>
      <w:r>
        <w:rPr>
          <w:rFonts w:hint="eastAsia" w:ascii="仿宋_GB2312" w:hAnsi="仿宋_GB2312" w:eastAsia="仿宋_GB2312" w:cs="仿宋_GB2312"/>
          <w:color w:val="3D3D3D"/>
          <w:sz w:val="32"/>
          <w:szCs w:val="32"/>
        </w:rPr>
        <w:t>2019</w:t>
      </w:r>
      <w:r>
        <w:rPr>
          <w:rFonts w:hint="eastAsia" w:ascii="微软雅黑" w:hAnsi="微软雅黑" w:eastAsia="微软雅黑" w:cs="微软雅黑"/>
          <w:color w:val="3D3D3D"/>
          <w:sz w:val="32"/>
          <w:szCs w:val="32"/>
        </w:rPr>
        <w:t>﹞</w:t>
      </w:r>
      <w:r>
        <w:rPr>
          <w:rFonts w:hint="eastAsia" w:ascii="仿宋_GB2312" w:hAnsi="仿宋_GB2312" w:eastAsia="仿宋_GB2312" w:cs="仿宋_GB2312"/>
          <w:color w:val="3D3D3D"/>
          <w:sz w:val="32"/>
          <w:szCs w:val="32"/>
        </w:rPr>
        <w:t>60号，以下简称《通知》）和《哈尔滨市政府信息公开办法》（以下简称《办法》）有关规定，在总结我</w:t>
      </w:r>
      <w:r>
        <w:rPr>
          <w:rFonts w:hint="eastAsia" w:ascii="仿宋_GB2312" w:hAnsi="仿宋_GB2312" w:eastAsia="仿宋_GB2312" w:cs="仿宋_GB2312"/>
          <w:color w:val="3D3D3D"/>
          <w:sz w:val="32"/>
          <w:szCs w:val="32"/>
          <w:lang w:val="en-US" w:eastAsia="zh-CN"/>
        </w:rPr>
        <w:t>乡</w:t>
      </w:r>
      <w:bookmarkStart w:id="0" w:name="_GoBack"/>
      <w:bookmarkEnd w:id="0"/>
      <w:r>
        <w:rPr>
          <w:rFonts w:hint="eastAsia" w:ascii="仿宋_GB2312" w:hAnsi="仿宋_GB2312" w:eastAsia="仿宋_GB2312" w:cs="仿宋_GB2312"/>
          <w:color w:val="3D3D3D"/>
          <w:sz w:val="32"/>
          <w:szCs w:val="32"/>
        </w:rPr>
        <w:t>2020年政府信息公开工作的基础上，编制此报告。报告中所列数据统计期限自2020年1月1日起至2020年12月31日止。</w:t>
      </w:r>
      <w:r>
        <w:rPr>
          <w:rFonts w:hint="eastAsia" w:ascii="仿宋" w:hAnsi="仿宋" w:eastAsia="仿宋" w:cs="仿宋"/>
          <w:i w:val="0"/>
          <w:caps w:val="0"/>
          <w:color w:val="555555"/>
          <w:spacing w:val="0"/>
          <w:sz w:val="32"/>
          <w:szCs w:val="32"/>
          <w:shd w:val="clear" w:fill="FFFFFF"/>
        </w:rPr>
        <w:t>本报告通过“</w:t>
      </w:r>
      <w:r>
        <w:rPr>
          <w:rFonts w:hint="eastAsia" w:ascii="仿宋" w:hAnsi="仿宋" w:eastAsia="仿宋" w:cs="仿宋"/>
          <w:i w:val="0"/>
          <w:caps w:val="0"/>
          <w:color w:val="555555"/>
          <w:spacing w:val="0"/>
          <w:sz w:val="32"/>
          <w:szCs w:val="32"/>
          <w:shd w:val="clear" w:fill="FFFFFF"/>
          <w:lang w:eastAsia="zh-CN"/>
        </w:rPr>
        <w:t>呼兰区人民政府网站</w:t>
      </w:r>
      <w:r>
        <w:rPr>
          <w:rFonts w:hint="eastAsia" w:ascii="仿宋" w:hAnsi="仿宋" w:eastAsia="仿宋" w:cs="仿宋"/>
          <w:i w:val="0"/>
          <w:caps w:val="0"/>
          <w:color w:val="555555"/>
          <w:spacing w:val="0"/>
          <w:sz w:val="32"/>
          <w:szCs w:val="32"/>
          <w:shd w:val="clear" w:fill="FFFFFF"/>
        </w:rPr>
        <w:t>”（http://www.hulan.gov.cn/）查阅向社会公布。若对本报告有任何疑问或意见建议，请联系</w:t>
      </w:r>
      <w:r>
        <w:rPr>
          <w:rFonts w:hint="eastAsia" w:ascii="仿宋" w:hAnsi="仿宋" w:eastAsia="仿宋" w:cs="仿宋"/>
          <w:i w:val="0"/>
          <w:caps w:val="0"/>
          <w:color w:val="555555"/>
          <w:spacing w:val="0"/>
          <w:sz w:val="32"/>
          <w:szCs w:val="32"/>
          <w:shd w:val="clear" w:fill="FFFFFF"/>
          <w:lang w:eastAsia="zh-CN"/>
        </w:rPr>
        <w:t>呼兰区杨林乡政府，联系电话</w:t>
      </w:r>
      <w:r>
        <w:rPr>
          <w:rFonts w:hint="eastAsia" w:ascii="仿宋" w:hAnsi="仿宋" w:eastAsia="仿宋" w:cs="仿宋"/>
          <w:i w:val="0"/>
          <w:caps w:val="0"/>
          <w:color w:val="555555"/>
          <w:spacing w:val="0"/>
          <w:sz w:val="32"/>
          <w:szCs w:val="32"/>
          <w:shd w:val="clear" w:fill="FFFFFF"/>
          <w:lang w:val="en-US" w:eastAsia="zh-CN"/>
        </w:rPr>
        <w:t>0451-</w:t>
      </w:r>
      <w:r>
        <w:rPr>
          <w:rFonts w:hint="eastAsia" w:ascii="仿宋" w:hAnsi="仿宋" w:eastAsia="仿宋" w:cs="仿宋"/>
          <w:i w:val="0"/>
          <w:caps w:val="0"/>
          <w:color w:val="555555"/>
          <w:spacing w:val="0"/>
          <w:sz w:val="32"/>
          <w:szCs w:val="32"/>
          <w:shd w:val="clear" w:fill="FFFFFF"/>
          <w:lang w:eastAsia="zh-CN"/>
        </w:rPr>
        <w:t>55209118</w:t>
      </w:r>
      <w:r>
        <w:rPr>
          <w:rFonts w:hint="eastAsia" w:ascii="仿宋" w:hAnsi="仿宋" w:eastAsia="仿宋" w:cs="仿宋"/>
          <w:i w:val="0"/>
          <w:caps w:val="0"/>
          <w:color w:val="555555"/>
          <w:spacing w:val="0"/>
          <w:sz w:val="32"/>
          <w:szCs w:val="32"/>
          <w:shd w:val="clear" w:fill="FFFFFF"/>
        </w:rPr>
        <w:t>。</w:t>
      </w:r>
    </w:p>
    <w:p>
      <w:pPr>
        <w:pStyle w:val="2"/>
        <w:keepNext w:val="0"/>
        <w:keepLines w:val="0"/>
        <w:widowControl/>
        <w:numPr>
          <w:ilvl w:val="0"/>
          <w:numId w:val="1"/>
        </w:numPr>
        <w:suppressLineNumbers w:val="0"/>
        <w:shd w:val="clear" w:fill="FFFFFF"/>
        <w:spacing w:before="0" w:beforeAutospacing="0" w:after="375" w:afterAutospacing="0" w:line="555" w:lineRule="atLeast"/>
        <w:ind w:left="0" w:right="0" w:firstLine="645"/>
        <w:jc w:val="both"/>
        <w:rPr>
          <w:rFonts w:hint="eastAsia" w:ascii="仿宋_GB2312" w:hAnsi="仿宋_GB2312" w:eastAsia="仿宋_GB2312" w:cs="仿宋_GB2312"/>
          <w:color w:val="3D3D3D"/>
          <w:sz w:val="32"/>
          <w:szCs w:val="32"/>
        </w:rPr>
      </w:pPr>
      <w:r>
        <w:rPr>
          <w:rFonts w:hint="eastAsia" w:ascii="黑体" w:hAnsi="黑体" w:eastAsia="黑体" w:cs="黑体"/>
          <w:i w:val="0"/>
          <w:caps w:val="0"/>
          <w:color w:val="3D3D3D"/>
          <w:spacing w:val="0"/>
          <w:sz w:val="32"/>
          <w:szCs w:val="32"/>
          <w:shd w:val="clear" w:fill="FFFFFF"/>
          <w:lang w:eastAsia="zh-CN"/>
        </w:rPr>
        <w:t>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_GB2312" w:hAnsi="仿宋_GB2312" w:eastAsia="仿宋_GB2312" w:cs="仿宋_GB2312"/>
          <w:color w:val="3D3D3D"/>
          <w:sz w:val="32"/>
          <w:szCs w:val="32"/>
        </w:rPr>
      </w:pPr>
      <w:r>
        <w:rPr>
          <w:rFonts w:hint="eastAsia" w:ascii="仿宋_GB2312" w:hAnsi="仿宋_GB2312" w:eastAsia="仿宋_GB2312" w:cs="仿宋_GB2312"/>
          <w:color w:val="3D3D3D"/>
          <w:sz w:val="32"/>
          <w:szCs w:val="32"/>
        </w:rPr>
        <w:t>（一）建立健全工作机制和制度</w:t>
      </w:r>
      <w:r>
        <w:rPr>
          <w:rFonts w:hint="eastAsia" w:ascii="仿宋_GB2312" w:hAnsi="仿宋_GB2312" w:eastAsia="仿宋_GB2312" w:cs="仿宋_GB2312"/>
          <w:color w:val="3D3D3D"/>
          <w:sz w:val="32"/>
          <w:szCs w:val="32"/>
          <w:lang w:eastAsia="zh-CN"/>
        </w:rPr>
        <w:t>。</w:t>
      </w:r>
      <w:r>
        <w:rPr>
          <w:rFonts w:hint="eastAsia" w:ascii="仿宋_GB2312" w:hAnsi="仿宋_GB2312" w:eastAsia="仿宋_GB2312" w:cs="仿宋_GB2312"/>
          <w:color w:val="3D3D3D"/>
          <w:sz w:val="32"/>
          <w:szCs w:val="32"/>
        </w:rPr>
        <w:t>为使政府信息公开工作有序运转，本</w:t>
      </w:r>
      <w:r>
        <w:rPr>
          <w:rFonts w:hint="eastAsia" w:ascii="仿宋_GB2312" w:hAnsi="仿宋_GB2312" w:eastAsia="仿宋_GB2312" w:cs="仿宋_GB2312"/>
          <w:color w:val="3D3D3D"/>
          <w:sz w:val="32"/>
          <w:szCs w:val="32"/>
          <w:lang w:eastAsia="zh-CN"/>
        </w:rPr>
        <w:t>乡</w:t>
      </w:r>
      <w:r>
        <w:rPr>
          <w:rFonts w:hint="eastAsia" w:ascii="仿宋_GB2312" w:hAnsi="仿宋_GB2312" w:eastAsia="仿宋_GB2312" w:cs="仿宋_GB2312"/>
          <w:color w:val="3D3D3D"/>
          <w:sz w:val="32"/>
          <w:szCs w:val="32"/>
        </w:rPr>
        <w:t>建立健全了以“主要领导亲自抓、分管领导具体抓、职能部门抓落实”的工作机制。明确职责、程序、公开方式和时限要求，完善信息主动公开操作流程和依申请公开处理流程，明确了信息公开的保密审查、协调发布、监督保障等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_GB2312" w:hAnsi="仿宋_GB2312" w:eastAsia="仿宋_GB2312" w:cs="仿宋_GB2312"/>
          <w:color w:val="3D3D3D"/>
          <w:sz w:val="32"/>
          <w:szCs w:val="32"/>
        </w:rPr>
      </w:pPr>
      <w:r>
        <w:rPr>
          <w:rFonts w:hint="eastAsia" w:ascii="仿宋_GB2312" w:hAnsi="仿宋_GB2312" w:eastAsia="仿宋_GB2312" w:cs="仿宋_GB2312"/>
          <w:color w:val="3D3D3D"/>
          <w:sz w:val="32"/>
          <w:szCs w:val="32"/>
        </w:rPr>
        <w:t>（二）加强公开工作机构、人员配置</w:t>
      </w:r>
      <w:r>
        <w:rPr>
          <w:rFonts w:hint="eastAsia" w:ascii="仿宋_GB2312" w:hAnsi="仿宋_GB2312" w:eastAsia="仿宋_GB2312" w:cs="仿宋_GB2312"/>
          <w:color w:val="3D3D3D"/>
          <w:sz w:val="32"/>
          <w:szCs w:val="32"/>
          <w:lang w:eastAsia="zh-CN"/>
        </w:rPr>
        <w:t>。</w:t>
      </w:r>
      <w:r>
        <w:rPr>
          <w:rFonts w:hint="eastAsia" w:ascii="仿宋_GB2312" w:hAnsi="仿宋_GB2312" w:eastAsia="仿宋_GB2312" w:cs="仿宋_GB2312"/>
          <w:color w:val="3D3D3D"/>
          <w:sz w:val="32"/>
          <w:szCs w:val="32"/>
        </w:rPr>
        <w:t>本</w:t>
      </w:r>
      <w:r>
        <w:rPr>
          <w:rFonts w:hint="eastAsia" w:ascii="仿宋_GB2312" w:hAnsi="仿宋_GB2312" w:eastAsia="仿宋_GB2312" w:cs="仿宋_GB2312"/>
          <w:color w:val="3D3D3D"/>
          <w:sz w:val="32"/>
          <w:szCs w:val="32"/>
          <w:lang w:eastAsia="zh-CN"/>
        </w:rPr>
        <w:t>乡</w:t>
      </w:r>
      <w:r>
        <w:rPr>
          <w:rFonts w:hint="eastAsia" w:ascii="仿宋_GB2312" w:hAnsi="仿宋_GB2312" w:eastAsia="仿宋_GB2312" w:cs="仿宋_GB2312"/>
          <w:color w:val="3D3D3D"/>
          <w:sz w:val="32"/>
          <w:szCs w:val="32"/>
        </w:rPr>
        <w:t>政府十分重视政府信息公开工作，将政府信息公开工作摆在重要位置。指派专人负责日常的信息公开维护工作。并成立了由信息化分管领导任组长、办公室主任任副组长、各主要科室负责人和信息化专管员任组员的信息化领导小组。领导小组负责日常工作的组织和协调，由办公室负责政府信息公开工作的实施。我们结合本部门实际情况，将政府信息公开工作纳入年度目标责任考核体系，切实推动政府信息公开工作深入开展，确保政府信息公开工作顺利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_GB2312" w:hAnsi="仿宋_GB2312" w:eastAsia="仿宋_GB2312" w:cs="仿宋_GB2312"/>
          <w:color w:val="3D3D3D"/>
          <w:sz w:val="32"/>
          <w:szCs w:val="32"/>
        </w:rPr>
      </w:pPr>
      <w:r>
        <w:rPr>
          <w:rFonts w:hint="eastAsia" w:ascii="仿宋_GB2312" w:hAnsi="仿宋_GB2312" w:eastAsia="仿宋_GB2312" w:cs="仿宋_GB2312"/>
          <w:color w:val="3D3D3D"/>
          <w:sz w:val="32"/>
          <w:szCs w:val="32"/>
        </w:rPr>
        <w:t>（三）严格执行保密审查制度</w:t>
      </w:r>
      <w:r>
        <w:rPr>
          <w:rFonts w:hint="eastAsia" w:ascii="仿宋_GB2312" w:hAnsi="仿宋_GB2312" w:eastAsia="仿宋_GB2312" w:cs="仿宋_GB2312"/>
          <w:color w:val="3D3D3D"/>
          <w:sz w:val="32"/>
          <w:szCs w:val="32"/>
          <w:lang w:eastAsia="zh-CN"/>
        </w:rPr>
        <w:t>。</w:t>
      </w:r>
      <w:r>
        <w:rPr>
          <w:rFonts w:hint="eastAsia" w:ascii="仿宋_GB2312" w:hAnsi="仿宋_GB2312" w:eastAsia="仿宋_GB2312" w:cs="仿宋_GB2312"/>
          <w:color w:val="3D3D3D"/>
          <w:sz w:val="32"/>
          <w:szCs w:val="32"/>
        </w:rPr>
        <w:t>“以公开为原则，不公开为例外”的总体要求，严格执行保密审查制度。本</w:t>
      </w:r>
      <w:r>
        <w:rPr>
          <w:rFonts w:hint="eastAsia" w:ascii="仿宋_GB2312" w:hAnsi="仿宋_GB2312" w:eastAsia="仿宋_GB2312" w:cs="仿宋_GB2312"/>
          <w:color w:val="3D3D3D"/>
          <w:sz w:val="32"/>
          <w:szCs w:val="32"/>
          <w:lang w:eastAsia="zh-CN"/>
        </w:rPr>
        <w:t>乡</w:t>
      </w:r>
      <w:r>
        <w:rPr>
          <w:rFonts w:hint="eastAsia" w:ascii="仿宋_GB2312" w:hAnsi="仿宋_GB2312" w:eastAsia="仿宋_GB2312" w:cs="仿宋_GB2312"/>
          <w:color w:val="3D3D3D"/>
          <w:sz w:val="32"/>
          <w:szCs w:val="32"/>
        </w:rPr>
        <w:t>做到既要积极贯彻落实《中华人民共和国政府信息公开条例》，将应公开的政府信息全面公开，又要严格遵循保密规定，严禁将不宜或不能公开的政府信息对外公开。建立健全了政府信息公开审查审批制度，对拟对外公开的政府信息，按照《保密法》和《中华人民共和国政府信息公开条例》的要求严格审查把关。</w:t>
      </w:r>
    </w:p>
    <w:p>
      <w:pPr>
        <w:pStyle w:val="2"/>
        <w:keepNext w:val="0"/>
        <w:keepLines w:val="0"/>
        <w:widowControl/>
        <w:suppressLineNumbers w:val="0"/>
        <w:shd w:val="clear" w:fill="FFFFFF"/>
        <w:spacing w:before="0" w:beforeAutospacing="0" w:after="375" w:afterAutospacing="0" w:line="555" w:lineRule="atLeast"/>
        <w:ind w:left="0" w:right="0" w:firstLine="645"/>
        <w:jc w:val="both"/>
        <w:rPr>
          <w:rFonts w:hint="eastAsia" w:ascii="黑体" w:hAnsi="黑体" w:eastAsia="黑体" w:cs="黑体"/>
          <w:i w:val="0"/>
          <w:caps w:val="0"/>
          <w:color w:val="3D3D3D"/>
          <w:spacing w:val="0"/>
          <w:sz w:val="32"/>
          <w:szCs w:val="32"/>
          <w:shd w:val="clear" w:fill="FFFFFF"/>
          <w:lang w:eastAsia="zh-CN"/>
        </w:rPr>
      </w:pPr>
      <w:r>
        <w:rPr>
          <w:rFonts w:hint="eastAsia" w:ascii="微软雅黑" w:hAnsi="微软雅黑" w:eastAsia="微软雅黑" w:cs="微软雅黑"/>
          <w:i w:val="0"/>
          <w:caps w:val="0"/>
          <w:color w:val="555555"/>
          <w:spacing w:val="0"/>
          <w:kern w:val="0"/>
          <w:sz w:val="27"/>
          <w:szCs w:val="27"/>
          <w:shd w:val="clear" w:fill="FFFFFF"/>
          <w:lang w:val="en-US" w:eastAsia="zh-CN" w:bidi="ar"/>
        </w:rPr>
        <w:t> </w:t>
      </w:r>
      <w:r>
        <w:rPr>
          <w:rFonts w:hint="eastAsia" w:ascii="黑体" w:hAnsi="黑体" w:eastAsia="黑体" w:cs="黑体"/>
          <w:i w:val="0"/>
          <w:caps w:val="0"/>
          <w:color w:val="3D3D3D"/>
          <w:spacing w:val="0"/>
          <w:sz w:val="32"/>
          <w:szCs w:val="32"/>
          <w:shd w:val="clear" w:fill="FFFFFF"/>
          <w:lang w:eastAsia="zh-CN"/>
        </w:rPr>
        <w:t>二、主动公开政府信息情况</w:t>
      </w:r>
    </w:p>
    <w:tbl>
      <w:tblPr>
        <w:tblStyle w:val="3"/>
        <w:tblW w:w="8140" w:type="dxa"/>
        <w:jc w:val="center"/>
        <w:tblInd w:w="0" w:type="dxa"/>
        <w:shd w:val="clear" w:color="auto" w:fill="auto"/>
        <w:tblLayout w:type="fixed"/>
        <w:tblCellMar>
          <w:top w:w="0" w:type="dxa"/>
          <w:left w:w="108" w:type="dxa"/>
          <w:bottom w:w="0" w:type="dxa"/>
          <w:right w:w="108" w:type="dxa"/>
        </w:tblCellMar>
      </w:tblPr>
      <w:tblGrid>
        <w:gridCol w:w="3113"/>
        <w:gridCol w:w="1875"/>
        <w:gridCol w:w="6"/>
        <w:gridCol w:w="1265"/>
        <w:gridCol w:w="1881"/>
      </w:tblGrid>
      <w:tr>
        <w:tblPrEx>
          <w:shd w:val="clear" w:color="auto" w:fill="auto"/>
          <w:tblLayout w:type="fixed"/>
          <w:tblCellMar>
            <w:top w:w="0" w:type="dxa"/>
            <w:left w:w="108" w:type="dxa"/>
            <w:bottom w:w="0" w:type="dxa"/>
            <w:right w:w="108" w:type="dxa"/>
          </w:tblCellMar>
        </w:tblPrEx>
        <w:trPr>
          <w:trHeight w:val="495"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第二十条第（一）项</w:t>
            </w:r>
          </w:p>
        </w:tc>
      </w:tr>
      <w:tr>
        <w:tblPrEx>
          <w:tblLayout w:type="fixed"/>
          <w:tblCellMar>
            <w:top w:w="0" w:type="dxa"/>
            <w:left w:w="108" w:type="dxa"/>
            <w:bottom w:w="0" w:type="dxa"/>
            <w:right w:w="108" w:type="dxa"/>
          </w:tblCellMar>
        </w:tblPrEx>
        <w:trPr>
          <w:trHeight w:val="882"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制作数量</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公开数量</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对外公开总数量</w:t>
            </w:r>
          </w:p>
        </w:tc>
      </w:tr>
      <w:tr>
        <w:tblPrEx>
          <w:shd w:val="clear" w:color="auto" w:fill="auto"/>
          <w:tblLayout w:type="fixed"/>
          <w:tblCellMar>
            <w:top w:w="0" w:type="dxa"/>
            <w:left w:w="108" w:type="dxa"/>
            <w:bottom w:w="0" w:type="dxa"/>
            <w:right w:w="108" w:type="dxa"/>
          </w:tblCellMar>
        </w:tblPrEx>
        <w:trPr>
          <w:trHeight w:val="523"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规章</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r>
      <w:tr>
        <w:tblPrEx>
          <w:shd w:val="clear" w:color="auto" w:fill="auto"/>
          <w:tblLayout w:type="fixed"/>
          <w:tblCellMar>
            <w:top w:w="0" w:type="dxa"/>
            <w:left w:w="108" w:type="dxa"/>
            <w:bottom w:w="0" w:type="dxa"/>
            <w:right w:w="108" w:type="dxa"/>
          </w:tblCellMar>
        </w:tblPrEx>
        <w:trPr>
          <w:trHeight w:val="471"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规范性文件</w:t>
            </w:r>
          </w:p>
        </w:tc>
        <w:tc>
          <w:tcPr>
            <w:tcW w:w="18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Layout w:type="fixed"/>
          <w:tblCellMar>
            <w:top w:w="0" w:type="dxa"/>
            <w:left w:w="108" w:type="dxa"/>
            <w:bottom w:w="0" w:type="dxa"/>
            <w:right w:w="108" w:type="dxa"/>
          </w:tblCellMar>
        </w:tblPrEx>
        <w:trPr>
          <w:trHeight w:val="480"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第二十条第（五）项</w:t>
            </w:r>
          </w:p>
        </w:tc>
      </w:tr>
      <w:tr>
        <w:tblPrEx>
          <w:shd w:val="clear" w:color="auto" w:fill="auto"/>
          <w:tblLayout w:type="fixed"/>
          <w:tblCellMar>
            <w:top w:w="0" w:type="dxa"/>
            <w:left w:w="108" w:type="dxa"/>
            <w:bottom w:w="0" w:type="dxa"/>
            <w:right w:w="108" w:type="dxa"/>
          </w:tblCellMar>
        </w:tblPrEx>
        <w:trPr>
          <w:trHeight w:val="634"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处理决定数量</w:t>
            </w:r>
          </w:p>
        </w:tc>
      </w:tr>
      <w:tr>
        <w:tblPrEx>
          <w:tblLayout w:type="fixed"/>
          <w:tblCellMar>
            <w:top w:w="0" w:type="dxa"/>
            <w:left w:w="108" w:type="dxa"/>
            <w:bottom w:w="0" w:type="dxa"/>
            <w:right w:w="108" w:type="dxa"/>
          </w:tblCellMar>
        </w:tblPrEx>
        <w:trPr>
          <w:trHeight w:val="528"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行政许可</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shd w:val="clear" w:color="auto" w:fill="auto"/>
          <w:tblLayout w:type="fixed"/>
          <w:tblCellMar>
            <w:top w:w="0" w:type="dxa"/>
            <w:left w:w="108" w:type="dxa"/>
            <w:bottom w:w="0" w:type="dxa"/>
            <w:right w:w="108" w:type="dxa"/>
          </w:tblCellMar>
        </w:tblPrEx>
        <w:trPr>
          <w:trHeight w:val="550"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其他对外管理服务事项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Layout w:type="fixed"/>
          <w:tblCellMar>
            <w:top w:w="0" w:type="dxa"/>
            <w:left w:w="108" w:type="dxa"/>
            <w:bottom w:w="0" w:type="dxa"/>
            <w:right w:w="108" w:type="dxa"/>
          </w:tblCellMar>
        </w:tblPrEx>
        <w:trPr>
          <w:trHeight w:val="406"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第二十条第（六）项</w:t>
            </w:r>
          </w:p>
        </w:tc>
      </w:tr>
      <w:tr>
        <w:tblPrEx>
          <w:shd w:val="clear" w:color="auto" w:fill="auto"/>
          <w:tblLayout w:type="fixed"/>
          <w:tblCellMar>
            <w:top w:w="0" w:type="dxa"/>
            <w:left w:w="108" w:type="dxa"/>
            <w:bottom w:w="0" w:type="dxa"/>
            <w:right w:w="108" w:type="dxa"/>
          </w:tblCellMar>
        </w:tblPrEx>
        <w:trPr>
          <w:trHeight w:val="634"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处理决定数量</w:t>
            </w:r>
          </w:p>
        </w:tc>
      </w:tr>
      <w:tr>
        <w:tblPrEx>
          <w:tblLayout w:type="fixed"/>
          <w:tblCellMar>
            <w:top w:w="0" w:type="dxa"/>
            <w:left w:w="108" w:type="dxa"/>
            <w:bottom w:w="0" w:type="dxa"/>
            <w:right w:w="108" w:type="dxa"/>
          </w:tblCellMar>
        </w:tblPrEx>
        <w:trPr>
          <w:trHeight w:val="430"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行政处罚</w:t>
            </w:r>
          </w:p>
        </w:tc>
        <w:tc>
          <w:tcPr>
            <w:tcW w:w="1881"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26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shd w:val="clear" w:color="auto" w:fill="auto"/>
          <w:tblLayout w:type="fixed"/>
          <w:tblCellMar>
            <w:top w:w="0" w:type="dxa"/>
            <w:left w:w="108" w:type="dxa"/>
            <w:bottom w:w="0" w:type="dxa"/>
            <w:right w:w="108" w:type="dxa"/>
          </w:tblCellMar>
        </w:tblPrEx>
        <w:trPr>
          <w:trHeight w:val="409"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行政强制</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Layout w:type="fixed"/>
          <w:tblCellMar>
            <w:top w:w="0" w:type="dxa"/>
            <w:left w:w="108" w:type="dxa"/>
            <w:bottom w:w="0" w:type="dxa"/>
            <w:right w:w="108" w:type="dxa"/>
          </w:tblCellMar>
        </w:tblPrEx>
        <w:trPr>
          <w:trHeight w:val="474"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第二十条第（八）项</w:t>
            </w:r>
          </w:p>
        </w:tc>
      </w:tr>
      <w:tr>
        <w:tblPrEx>
          <w:tblLayout w:type="fixed"/>
          <w:tblCellMar>
            <w:top w:w="0" w:type="dxa"/>
            <w:left w:w="108" w:type="dxa"/>
            <w:bottom w:w="0" w:type="dxa"/>
            <w:right w:w="108" w:type="dxa"/>
          </w:tblCellMar>
        </w:tblPrEx>
        <w:trPr>
          <w:trHeight w:val="270"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上一年项目数量</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本年增/减</w:t>
            </w:r>
          </w:p>
        </w:tc>
      </w:tr>
      <w:tr>
        <w:tblPrEx>
          <w:tblLayout w:type="fixed"/>
          <w:tblCellMar>
            <w:top w:w="0" w:type="dxa"/>
            <w:left w:w="108" w:type="dxa"/>
            <w:bottom w:w="0" w:type="dxa"/>
            <w:right w:w="108" w:type="dxa"/>
          </w:tblCellMar>
        </w:tblPrEx>
        <w:trPr>
          <w:trHeight w:val="551"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行政事业性收费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shd w:val="clear" w:color="auto" w:fill="auto"/>
          <w:tblLayout w:type="fixed"/>
          <w:tblCellMar>
            <w:top w:w="0" w:type="dxa"/>
            <w:left w:w="108" w:type="dxa"/>
            <w:bottom w:w="0" w:type="dxa"/>
            <w:right w:w="108" w:type="dxa"/>
          </w:tblCellMar>
        </w:tblPrEx>
        <w:trPr>
          <w:trHeight w:val="476"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第二十条第（九）项</w:t>
            </w:r>
          </w:p>
        </w:tc>
      </w:tr>
      <w:tr>
        <w:tblPrEx>
          <w:tblLayout w:type="fixed"/>
          <w:tblCellMar>
            <w:top w:w="0" w:type="dxa"/>
            <w:left w:w="108" w:type="dxa"/>
            <w:bottom w:w="0" w:type="dxa"/>
            <w:right w:w="108" w:type="dxa"/>
          </w:tblCellMar>
        </w:tblPrEx>
        <w:trPr>
          <w:trHeight w:val="585"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采购项目数量</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采购总金额</w:t>
            </w:r>
          </w:p>
        </w:tc>
      </w:tr>
      <w:tr>
        <w:tblPrEx>
          <w:tblLayout w:type="fixed"/>
          <w:tblCellMar>
            <w:top w:w="0" w:type="dxa"/>
            <w:left w:w="108" w:type="dxa"/>
            <w:bottom w:w="0" w:type="dxa"/>
            <w:right w:w="108" w:type="dxa"/>
          </w:tblCellMar>
        </w:tblPrEx>
        <w:trPr>
          <w:trHeight w:val="539"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政府集中采购</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ind w:firstLine="640" w:firstLineChars="200"/>
        <w:jc w:val="left"/>
        <w:rPr>
          <w:rFonts w:hint="eastAsia" w:ascii="黑体" w:hAnsi="黑体" w:eastAsia="黑体" w:cs="黑体"/>
          <w:i w:val="0"/>
          <w:caps w:val="0"/>
          <w:color w:val="3D3D3D"/>
          <w:spacing w:val="0"/>
          <w:sz w:val="32"/>
          <w:szCs w:val="32"/>
          <w:shd w:val="clear" w:fill="FFFFFF"/>
          <w:lang w:eastAsia="zh-CN"/>
        </w:rPr>
      </w:pPr>
      <w:r>
        <w:rPr>
          <w:rFonts w:hint="eastAsia" w:ascii="黑体" w:hAnsi="黑体" w:eastAsia="黑体" w:cs="黑体"/>
          <w:i w:val="0"/>
          <w:caps w:val="0"/>
          <w:color w:val="3D3D3D"/>
          <w:spacing w:val="0"/>
          <w:sz w:val="32"/>
          <w:szCs w:val="32"/>
          <w:shd w:val="clear" w:fill="FFFFFF"/>
          <w:lang w:eastAsia="zh-CN"/>
        </w:rPr>
        <w:t>三、收到和处理政府信息公开申请情况</w:t>
      </w:r>
    </w:p>
    <w:tbl>
      <w:tblPr>
        <w:tblStyle w:val="3"/>
        <w:tblW w:w="84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92"/>
        <w:gridCol w:w="710"/>
        <w:gridCol w:w="2034"/>
        <w:gridCol w:w="787"/>
        <w:gridCol w:w="730"/>
        <w:gridCol w:w="730"/>
        <w:gridCol w:w="787"/>
        <w:gridCol w:w="945"/>
        <w:gridCol w:w="688"/>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7" w:hRule="atLeast"/>
          <w:jc w:val="center"/>
        </w:trPr>
        <w:tc>
          <w:tcPr>
            <w:tcW w:w="313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（本列数据的勾稽关系为：第一项加第二项之和，等于第三项加第四项之和）</w:t>
            </w:r>
          </w:p>
        </w:tc>
        <w:tc>
          <w:tcPr>
            <w:tcW w:w="5338"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7" w:hRule="atLeast"/>
          <w:jc w:val="center"/>
        </w:trPr>
        <w:tc>
          <w:tcPr>
            <w:tcW w:w="3136"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87"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自然人</w:t>
            </w:r>
          </w:p>
        </w:tc>
        <w:tc>
          <w:tcPr>
            <w:tcW w:w="388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法人或其他组织</w:t>
            </w:r>
          </w:p>
        </w:tc>
        <w:tc>
          <w:tcPr>
            <w:tcW w:w="671"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3136"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87"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商业企业</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科研机构</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社会公益组织</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法律服务机构</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其他</w:t>
            </w:r>
          </w:p>
        </w:tc>
        <w:tc>
          <w:tcPr>
            <w:tcW w:w="671" w:type="dxa"/>
            <w:vMerge w:val="continue"/>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7" w:hRule="atLeast"/>
          <w:jc w:val="center"/>
        </w:trPr>
        <w:tc>
          <w:tcPr>
            <w:tcW w:w="3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Calibri" w:hAnsi="Calibri" w:eastAsia="宋体" w:cs="Times New Roman"/>
                <w:color w:val="333333"/>
                <w:kern w:val="2"/>
                <w:sz w:val="20"/>
                <w:szCs w:val="20"/>
                <w:lang w:val="en-US" w:eastAsia="zh-CN" w:bidi="ar"/>
              </w:rPr>
              <w:t>一、本年新收政府信息公开申请数量</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7" w:hRule="atLeast"/>
          <w:jc w:val="center"/>
        </w:trPr>
        <w:tc>
          <w:tcPr>
            <w:tcW w:w="3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Calibri" w:hAnsi="Calibri" w:eastAsia="宋体" w:cs="Times New Roman"/>
                <w:color w:val="333333"/>
                <w:kern w:val="2"/>
                <w:sz w:val="20"/>
                <w:szCs w:val="20"/>
                <w:lang w:val="en-US" w:eastAsia="zh-CN" w:bidi="ar"/>
              </w:rPr>
              <w:t>二、上年结转政府信息公开申请数量</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9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三、本年度办理结果</w:t>
            </w: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（一）予以公开</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（二）部分公开（区分处理的，只计这一情形，不计其他情形）</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（三）不予公开</w:t>
            </w: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1.属于国家秘密</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2.其他法律行政法规禁止公开</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3.危及“三安全一稳定”</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4.保护第三方合法权益</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5.属于三类内部事务信息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6.属于四类过程性信息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7.属于行政执法案卷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8.属于行政查询事项</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（四）无法提供</w:t>
            </w: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1.本机关不掌握相关政府信息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2.没有现成信息需要另行制作</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3.补正后申请内容仍不明确</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（五）不予处理</w:t>
            </w: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1.信访举报投诉类申请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2.重复申请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3.要求提供公开出版物</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4.无正当理由大量反复申请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30"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5.要求行政机关确认或重新出具已获取信息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（六）其他处理</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（七）总计</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3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Calibri" w:hAnsi="Calibri" w:eastAsia="宋体" w:cs="Times New Roman"/>
                <w:color w:val="333333"/>
                <w:kern w:val="2"/>
                <w:sz w:val="20"/>
                <w:szCs w:val="20"/>
                <w:lang w:val="en-US" w:eastAsia="zh-CN" w:bidi="ar"/>
              </w:rPr>
              <w:t>四、结转下年度继续办理</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671"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r>
    </w:tbl>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ind w:left="0" w:firstLine="420"/>
        <w:jc w:val="both"/>
        <w:rPr>
          <w:rFonts w:hint="eastAsia" w:ascii="黑体" w:hAnsi="黑体" w:eastAsia="黑体" w:cs="黑体"/>
          <w:i w:val="0"/>
          <w:caps w:val="0"/>
          <w:color w:val="3D3D3D"/>
          <w:spacing w:val="0"/>
          <w:kern w:val="2"/>
          <w:sz w:val="32"/>
          <w:szCs w:val="32"/>
          <w:shd w:val="clear" w:fill="FFFFFF"/>
          <w:lang w:val="en-US" w:eastAsia="zh-CN" w:bidi="ar-SA"/>
        </w:rPr>
      </w:pPr>
      <w:r>
        <w:rPr>
          <w:rFonts w:hint="eastAsia" w:ascii="黑体" w:hAnsi="黑体" w:eastAsia="黑体" w:cs="黑体"/>
          <w:i w:val="0"/>
          <w:caps w:val="0"/>
          <w:color w:val="3D3D3D"/>
          <w:spacing w:val="0"/>
          <w:kern w:val="2"/>
          <w:sz w:val="32"/>
          <w:szCs w:val="32"/>
          <w:shd w:val="clear" w:fill="FFFFFF"/>
          <w:lang w:val="en-US" w:eastAsia="zh-CN" w:bidi="ar-SA"/>
        </w:rPr>
        <w:t>四、政府信息公开行政复议、行政诉讼情况</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tbl>
      <w:tblPr>
        <w:tblStyle w:val="3"/>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行政复议</w:t>
            </w:r>
          </w:p>
        </w:tc>
        <w:tc>
          <w:tcPr>
            <w:tcW w:w="5997" w:type="dxa"/>
            <w:gridSpan w:val="10"/>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结果维持</w:t>
            </w:r>
          </w:p>
        </w:tc>
        <w:tc>
          <w:tcPr>
            <w:tcW w:w="604"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结果纠正</w:t>
            </w:r>
          </w:p>
        </w:tc>
        <w:tc>
          <w:tcPr>
            <w:tcW w:w="604"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其他结果</w:t>
            </w:r>
          </w:p>
        </w:tc>
        <w:tc>
          <w:tcPr>
            <w:tcW w:w="604"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尚未审结</w:t>
            </w:r>
          </w:p>
        </w:tc>
        <w:tc>
          <w:tcPr>
            <w:tcW w:w="658"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总计</w:t>
            </w:r>
          </w:p>
        </w:tc>
        <w:tc>
          <w:tcPr>
            <w:tcW w:w="297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未经复议直接起诉</w:t>
            </w:r>
          </w:p>
        </w:tc>
        <w:tc>
          <w:tcPr>
            <w:tcW w:w="3027"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04" w:type="dxa"/>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04"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04"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58"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5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结果维持</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结果纠正</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其他结果</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尚未审结</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总计</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结果维持</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结果纠正</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尚未审结</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5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widowControl/>
        <w:suppressLineNumbers w:val="0"/>
        <w:spacing w:before="0" w:beforeAutospacing="0" w:after="0" w:afterAutospacing="0"/>
        <w:ind w:left="0" w:right="0"/>
        <w:jc w:val="left"/>
      </w:pPr>
    </w:p>
    <w:p>
      <w:pPr>
        <w:pStyle w:val="2"/>
        <w:keepNext w:val="0"/>
        <w:keepLines w:val="0"/>
        <w:widowControl/>
        <w:numPr>
          <w:ilvl w:val="0"/>
          <w:numId w:val="2"/>
        </w:numPr>
        <w:suppressLineNumbers w:val="0"/>
        <w:spacing w:before="0" w:beforeAutospacing="0" w:after="0" w:afterAutospacing="0" w:line="432" w:lineRule="auto"/>
        <w:ind w:firstLine="640" w:firstLineChars="200"/>
        <w:jc w:val="both"/>
        <w:rPr>
          <w:rFonts w:hint="eastAsia" w:ascii="黑体" w:hAnsi="黑体" w:eastAsia="黑体" w:cs="黑体"/>
          <w:i w:val="0"/>
          <w:caps w:val="0"/>
          <w:color w:val="3D3D3D"/>
          <w:spacing w:val="0"/>
          <w:kern w:val="2"/>
          <w:sz w:val="32"/>
          <w:szCs w:val="32"/>
          <w:shd w:val="clear" w:fill="FFFFFF"/>
          <w:lang w:val="en-US" w:eastAsia="zh-CN" w:bidi="ar-SA"/>
        </w:rPr>
      </w:pPr>
      <w:r>
        <w:rPr>
          <w:rFonts w:hint="eastAsia" w:ascii="黑体" w:hAnsi="黑体" w:eastAsia="黑体" w:cs="黑体"/>
          <w:i w:val="0"/>
          <w:caps w:val="0"/>
          <w:color w:val="3D3D3D"/>
          <w:spacing w:val="0"/>
          <w:kern w:val="2"/>
          <w:sz w:val="32"/>
          <w:szCs w:val="32"/>
          <w:shd w:val="clear" w:fill="FFFFFF"/>
          <w:lang w:val="en-US" w:eastAsia="zh-CN" w:bidi="ar-SA"/>
        </w:rPr>
        <w:t>存在的主要问题及改进情况</w:t>
      </w:r>
    </w:p>
    <w:p>
      <w:pPr>
        <w:ind w:firstLine="640" w:firstLineChars="200"/>
        <w:rPr>
          <w:rFonts w:hint="eastAsia" w:ascii="仿宋" w:hAnsi="仿宋" w:eastAsia="仿宋" w:cs="仿宋"/>
          <w:color w:val="333333"/>
          <w:sz w:val="32"/>
          <w:szCs w:val="32"/>
          <w:lang w:eastAsia="zh-CN"/>
        </w:rPr>
      </w:pPr>
      <w:r>
        <w:rPr>
          <w:rFonts w:hint="eastAsia" w:ascii="仿宋" w:hAnsi="仿宋" w:eastAsia="仿宋" w:cs="仿宋"/>
          <w:color w:val="333333"/>
          <w:sz w:val="32"/>
          <w:szCs w:val="32"/>
          <w:lang w:eastAsia="zh-CN"/>
        </w:rPr>
        <w:t>我乡的政府信息公开工作虽然取得了一些成效，但我们也清醒地认识到，政府机关主动公开信息内容与公众的需求还存在一些差距，在公开形式与方便民众方面还需进一步提高。</w:t>
      </w:r>
    </w:p>
    <w:p>
      <w:pPr>
        <w:ind w:firstLine="640" w:firstLineChars="200"/>
        <w:rPr>
          <w:rFonts w:hint="eastAsia" w:ascii="仿宋" w:hAnsi="仿宋" w:eastAsia="仿宋" w:cs="仿宋"/>
          <w:color w:val="333333"/>
          <w:sz w:val="32"/>
          <w:szCs w:val="32"/>
          <w:lang w:eastAsia="zh-CN"/>
        </w:rPr>
      </w:pPr>
      <w:r>
        <w:rPr>
          <w:rFonts w:hint="eastAsia" w:ascii="仿宋" w:hAnsi="仿宋" w:eastAsia="仿宋" w:cs="仿宋"/>
          <w:color w:val="333333"/>
          <w:sz w:val="32"/>
          <w:szCs w:val="32"/>
          <w:lang w:eastAsia="zh-CN"/>
        </w:rPr>
        <w:t>结合工作中存在的问题和不足，下一步改进措施：一是继续深化政府信息公开内容。继续重点推进与社会发展和群众生活密切相关的政府信息公开；进一步及时、规范做好公文类政府信息公开工作；以政府信息公开带动办事公开，以办事公开带动便民服务，进一步推动政府信息公开与网上办事相结合。二是加强政府信息公开基础性工作。加强宣传，提高公众对政府信息公开的知晓率和参与度。加强政府信息公开业务学习和培训，不断提升政府信息公开整体工作水平。</w:t>
      </w:r>
    </w:p>
    <w:p>
      <w:pPr>
        <w:pStyle w:val="2"/>
        <w:keepNext w:val="0"/>
        <w:keepLines w:val="0"/>
        <w:widowControl/>
        <w:suppressLineNumbers w:val="0"/>
        <w:spacing w:before="0" w:beforeAutospacing="0" w:after="0" w:afterAutospacing="0" w:line="432" w:lineRule="auto"/>
        <w:ind w:firstLine="640" w:firstLineChars="200"/>
        <w:jc w:val="both"/>
        <w:rPr>
          <w:rFonts w:hint="eastAsia" w:ascii="黑体" w:hAnsi="黑体" w:eastAsia="黑体" w:cs="黑体"/>
          <w:i w:val="0"/>
          <w:caps w:val="0"/>
          <w:color w:val="3D3D3D"/>
          <w:spacing w:val="0"/>
          <w:kern w:val="2"/>
          <w:sz w:val="32"/>
          <w:szCs w:val="32"/>
          <w:shd w:val="clear" w:fill="FFFFFF"/>
          <w:lang w:val="en-US" w:eastAsia="zh-CN" w:bidi="ar-SA"/>
        </w:rPr>
      </w:pPr>
      <w:r>
        <w:rPr>
          <w:rFonts w:hint="eastAsia" w:ascii="黑体" w:hAnsi="黑体" w:eastAsia="黑体" w:cs="黑体"/>
          <w:i w:val="0"/>
          <w:caps w:val="0"/>
          <w:color w:val="3D3D3D"/>
          <w:spacing w:val="0"/>
          <w:kern w:val="2"/>
          <w:sz w:val="32"/>
          <w:szCs w:val="32"/>
          <w:shd w:val="clear" w:fill="FFFFFF"/>
          <w:lang w:val="en-US" w:eastAsia="zh-CN" w:bidi="ar-SA"/>
        </w:rPr>
        <w:t>六、其他需要报告的事项</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color w:val="333333"/>
          <w:sz w:val="32"/>
          <w:szCs w:val="32"/>
          <w:lang w:eastAsia="zh-CN"/>
        </w:rPr>
        <w:t>无</w:t>
      </w:r>
      <w:r>
        <w:rPr>
          <w:rFonts w:hint="eastAsia" w:ascii="仿宋" w:hAnsi="仿宋" w:eastAsia="仿宋" w:cs="仿宋"/>
          <w:color w:val="333333"/>
          <w:sz w:val="32"/>
          <w:szCs w:val="32"/>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 w:lineRule="atLeast"/>
        <w:ind w:left="0" w:right="0" w:firstLine="640" w:firstLineChars="200"/>
        <w:jc w:val="left"/>
        <w:rPr>
          <w:rFonts w:hint="default" w:ascii="仿宋_GB2312" w:eastAsia="仿宋_GB2312" w:cs="仿宋_GB2312" w:hAnsiTheme="minorHAnsi"/>
          <w:i w:val="0"/>
          <w:caps w:val="0"/>
          <w:color w:val="555555"/>
          <w:spacing w:val="0"/>
          <w:kern w:val="0"/>
          <w:sz w:val="32"/>
          <w:szCs w:val="32"/>
          <w:shd w:val="clear" w:fill="FFFFFF"/>
          <w:lang w:val="en-US" w:eastAsia="zh-CN" w:bidi="ar"/>
        </w:rPr>
      </w:pPr>
    </w:p>
    <w:p>
      <w:pPr>
        <w:ind w:firstLine="640" w:firstLineChars="200"/>
        <w:rPr>
          <w:rFonts w:hint="eastAsia" w:ascii="仿宋" w:eastAsia="仿宋"/>
          <w:sz w:val="32"/>
          <w:szCs w:val="32"/>
        </w:rPr>
      </w:pPr>
      <w:r>
        <w:rPr>
          <w:rFonts w:hint="default" w:ascii="仿宋_GB2312" w:eastAsia="仿宋_GB2312" w:cs="仿宋_GB2312" w:hAnsiTheme="minorHAnsi"/>
          <w:i w:val="0"/>
          <w:caps w:val="0"/>
          <w:color w:val="555555"/>
          <w:spacing w:val="0"/>
          <w:kern w:val="0"/>
          <w:sz w:val="32"/>
          <w:szCs w:val="32"/>
          <w:shd w:val="clear" w:fill="FFFFFF"/>
          <w:lang w:val="en-US" w:eastAsia="zh-CN" w:bidi="ar"/>
        </w:rPr>
        <w:t> </w:t>
      </w:r>
    </w:p>
    <w:p>
      <w:pPr>
        <w:jc w:val="left"/>
        <w:rPr>
          <w:rFonts w:hint="eastAsia" w:ascii="仿宋" w:eastAsia="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4A29BD"/>
    <w:multiLevelType w:val="singleLevel"/>
    <w:tmpl w:val="EB4A29BD"/>
    <w:lvl w:ilvl="0" w:tentative="0">
      <w:start w:val="5"/>
      <w:numFmt w:val="chineseCounting"/>
      <w:suff w:val="nothing"/>
      <w:lvlText w:val="%1、"/>
      <w:lvlJc w:val="left"/>
      <w:rPr>
        <w:rFonts w:hint="eastAsia"/>
      </w:rPr>
    </w:lvl>
  </w:abstractNum>
  <w:abstractNum w:abstractNumId="1">
    <w:nsid w:val="6A7E218D"/>
    <w:multiLevelType w:val="singleLevel"/>
    <w:tmpl w:val="6A7E218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E533A"/>
    <w:rsid w:val="03AA2D4C"/>
    <w:rsid w:val="10BC6BBE"/>
    <w:rsid w:val="169D4515"/>
    <w:rsid w:val="16AF6EEE"/>
    <w:rsid w:val="1F1C066B"/>
    <w:rsid w:val="20DB01DD"/>
    <w:rsid w:val="25BA3E57"/>
    <w:rsid w:val="2C0A40A3"/>
    <w:rsid w:val="2C56720E"/>
    <w:rsid w:val="31A63FD1"/>
    <w:rsid w:val="39BA6E74"/>
    <w:rsid w:val="3D8B73B8"/>
    <w:rsid w:val="3FF303EA"/>
    <w:rsid w:val="4E2C3CB6"/>
    <w:rsid w:val="559E3233"/>
    <w:rsid w:val="6031579D"/>
    <w:rsid w:val="623E6E5E"/>
    <w:rsid w:val="6AF025EA"/>
    <w:rsid w:val="6BD96D75"/>
    <w:rsid w:val="6FC14AC1"/>
    <w:rsid w:val="70D35305"/>
    <w:rsid w:val="70DE5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2844</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2021-01-28T09:13:00Z</dcterms:created>
  <dc:creator>大大</dc:creator>
  <cp:lastModifiedBy>财政局</cp:lastModifiedBy>
  <dcterms:modified xsi:type="dcterms:W3CDTF">2021-04-21T06:34:25Z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