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i w:val="0"/>
          <w:caps w:val="0"/>
          <w:color w:val="3D3D3D"/>
          <w:spacing w:val="0"/>
          <w:sz w:val="44"/>
          <w:szCs w:val="44"/>
          <w:shd w:val="clear" w:fill="FFFFFF"/>
        </w:rPr>
      </w:pPr>
      <w:r>
        <w:rPr>
          <w:rFonts w:hint="eastAsia" w:ascii="黑体" w:hAnsi="黑体" w:eastAsia="黑体" w:cs="黑体"/>
          <w:b/>
          <w:i w:val="0"/>
          <w:caps w:val="0"/>
          <w:color w:val="3D3D3D"/>
          <w:spacing w:val="0"/>
          <w:sz w:val="44"/>
          <w:szCs w:val="44"/>
          <w:shd w:val="clear" w:fill="FFFFFF"/>
          <w:lang w:eastAsia="zh-CN"/>
        </w:rPr>
        <w:t>呼兰区</w:t>
      </w:r>
      <w:bookmarkStart w:id="0" w:name="_GoBack"/>
      <w:r>
        <w:rPr>
          <w:rFonts w:hint="eastAsia" w:ascii="黑体" w:hAnsi="黑体" w:eastAsia="黑体" w:cs="黑体"/>
          <w:b/>
          <w:i w:val="0"/>
          <w:caps w:val="0"/>
          <w:color w:val="3D3D3D"/>
          <w:spacing w:val="0"/>
          <w:sz w:val="44"/>
          <w:szCs w:val="44"/>
          <w:shd w:val="clear" w:fill="FFFFFF"/>
          <w:lang w:eastAsia="zh-CN"/>
        </w:rPr>
        <w:t>双井街道</w:t>
      </w:r>
      <w:bookmarkEnd w:id="0"/>
      <w:r>
        <w:rPr>
          <w:rFonts w:hint="eastAsia" w:ascii="黑体" w:hAnsi="黑体" w:eastAsia="黑体" w:cs="黑体"/>
          <w:b/>
          <w:i w:val="0"/>
          <w:caps w:val="0"/>
          <w:color w:val="3D3D3D"/>
          <w:spacing w:val="0"/>
          <w:sz w:val="44"/>
          <w:szCs w:val="44"/>
          <w:shd w:val="clear" w:fill="FFFFFF"/>
          <w:lang w:eastAsia="zh-CN"/>
        </w:rPr>
        <w:t>办事处2</w:t>
      </w:r>
      <w:r>
        <w:rPr>
          <w:rFonts w:hint="eastAsia" w:ascii="黑体" w:hAnsi="黑体" w:eastAsia="黑体" w:cs="黑体"/>
          <w:b/>
          <w:i w:val="0"/>
          <w:caps w:val="0"/>
          <w:color w:val="3D3D3D"/>
          <w:spacing w:val="0"/>
          <w:sz w:val="44"/>
          <w:szCs w:val="44"/>
          <w:shd w:val="clear" w:fill="FFFFFF"/>
        </w:rPr>
        <w:t>020年政府信息公开工作年度报告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0" w:firstLineChars="200"/>
        <w:rPr>
          <w:rFonts w:hint="eastAsia" w:ascii="仿宋" w:hAnsi="仿宋" w:eastAsia="仿宋" w:cs="仿宋"/>
          <w:i w:val="0"/>
          <w:caps w:val="0"/>
          <w:color w:val="3D3D3D"/>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 w:hAnsi="仿宋" w:eastAsia="仿宋" w:cs="仿宋"/>
          <w:i w:val="0"/>
          <w:caps w:val="0"/>
          <w:color w:val="555555"/>
          <w:spacing w:val="0"/>
          <w:sz w:val="32"/>
          <w:szCs w:val="32"/>
          <w:shd w:val="clear" w:fill="FFFFFF"/>
        </w:rPr>
      </w:pPr>
      <w:r>
        <w:rPr>
          <w:rFonts w:hint="eastAsia" w:ascii="仿宋_GB2312" w:hAnsi="仿宋_GB2312" w:eastAsia="仿宋_GB2312" w:cs="仿宋_GB2312"/>
          <w:color w:val="3D3D3D"/>
          <w:sz w:val="32"/>
          <w:szCs w:val="32"/>
        </w:rPr>
        <w:t>根据新修订的《中华人民共和国政府信息公开条例》（以下简称新《条例》）、《国务院办公厅政府信息与政务公开办公室关于政府信息公开工作年度报告有关事项的通知》（国办公开办函</w:t>
      </w:r>
      <w:r>
        <w:rPr>
          <w:rFonts w:hint="eastAsia" w:ascii="微软雅黑" w:hAnsi="微软雅黑" w:eastAsia="微软雅黑" w:cs="微软雅黑"/>
          <w:color w:val="3D3D3D"/>
          <w:sz w:val="32"/>
          <w:szCs w:val="32"/>
        </w:rPr>
        <w:t>﹝</w:t>
      </w:r>
      <w:r>
        <w:rPr>
          <w:rFonts w:hint="eastAsia" w:ascii="仿宋_GB2312" w:hAnsi="仿宋_GB2312" w:eastAsia="仿宋_GB2312" w:cs="仿宋_GB2312"/>
          <w:color w:val="3D3D3D"/>
          <w:sz w:val="32"/>
          <w:szCs w:val="32"/>
        </w:rPr>
        <w:t>2019</w:t>
      </w:r>
      <w:r>
        <w:rPr>
          <w:rFonts w:hint="eastAsia" w:ascii="微软雅黑" w:hAnsi="微软雅黑" w:eastAsia="微软雅黑" w:cs="微软雅黑"/>
          <w:color w:val="3D3D3D"/>
          <w:sz w:val="32"/>
          <w:szCs w:val="32"/>
        </w:rPr>
        <w:t>﹞</w:t>
      </w:r>
      <w:r>
        <w:rPr>
          <w:rFonts w:hint="eastAsia" w:ascii="仿宋_GB2312" w:hAnsi="仿宋_GB2312" w:eastAsia="仿宋_GB2312" w:cs="仿宋_GB2312"/>
          <w:color w:val="3D3D3D"/>
          <w:sz w:val="32"/>
          <w:szCs w:val="32"/>
        </w:rPr>
        <w:t>60号，以下简称《通知》）和《哈尔滨市政府信息公开办法》（以下简称《办法》）有关规定，在总结我局2020年政府信息公开工作的基础上，编制此报告。报告中所列数据统计期限自2020年1月1日起至2020年12月31日止。</w:t>
      </w:r>
      <w:r>
        <w:rPr>
          <w:rFonts w:hint="eastAsia" w:ascii="仿宋" w:hAnsi="仿宋" w:eastAsia="仿宋" w:cs="仿宋"/>
          <w:i w:val="0"/>
          <w:caps w:val="0"/>
          <w:color w:val="555555"/>
          <w:spacing w:val="0"/>
          <w:sz w:val="32"/>
          <w:szCs w:val="32"/>
          <w:shd w:val="clear" w:fill="FFFFFF"/>
        </w:rPr>
        <w:t>本报告通过“</w:t>
      </w:r>
      <w:r>
        <w:rPr>
          <w:rFonts w:hint="eastAsia" w:ascii="仿宋" w:hAnsi="仿宋" w:eastAsia="仿宋" w:cs="仿宋"/>
          <w:i w:val="0"/>
          <w:caps w:val="0"/>
          <w:color w:val="555555"/>
          <w:spacing w:val="0"/>
          <w:sz w:val="32"/>
          <w:szCs w:val="32"/>
          <w:shd w:val="clear" w:fill="FFFFFF"/>
          <w:lang w:eastAsia="zh-CN"/>
        </w:rPr>
        <w:t>呼兰区人民政府网站</w:t>
      </w:r>
      <w:r>
        <w:rPr>
          <w:rFonts w:hint="eastAsia" w:ascii="仿宋" w:hAnsi="仿宋" w:eastAsia="仿宋" w:cs="仿宋"/>
          <w:i w:val="0"/>
          <w:caps w:val="0"/>
          <w:color w:val="555555"/>
          <w:spacing w:val="0"/>
          <w:sz w:val="32"/>
          <w:szCs w:val="32"/>
          <w:shd w:val="clear" w:fill="FFFFFF"/>
        </w:rPr>
        <w:t>”（http://www.hulan.gov.cn/）查阅向社会公布。若对本报告有任何疑问或意见建议，请联系</w:t>
      </w:r>
      <w:r>
        <w:rPr>
          <w:rFonts w:hint="eastAsia" w:ascii="仿宋" w:hAnsi="仿宋" w:eastAsia="仿宋" w:cs="仿宋"/>
          <w:i w:val="0"/>
          <w:caps w:val="0"/>
          <w:color w:val="555555"/>
          <w:spacing w:val="0"/>
          <w:sz w:val="32"/>
          <w:szCs w:val="32"/>
          <w:shd w:val="clear" w:fill="FFFFFF"/>
          <w:lang w:eastAsia="zh-CN"/>
        </w:rPr>
        <w:t>呼兰区双井街道办事处，联系电话</w:t>
      </w:r>
      <w:r>
        <w:rPr>
          <w:rFonts w:hint="eastAsia" w:ascii="仿宋" w:hAnsi="仿宋" w:eastAsia="仿宋" w:cs="仿宋"/>
          <w:i w:val="0"/>
          <w:caps w:val="0"/>
          <w:color w:val="555555"/>
          <w:spacing w:val="0"/>
          <w:sz w:val="32"/>
          <w:szCs w:val="32"/>
          <w:shd w:val="clear" w:fill="FFFFFF"/>
          <w:lang w:val="en-US" w:eastAsia="zh-CN"/>
        </w:rPr>
        <w:t>0451-</w:t>
      </w:r>
      <w:r>
        <w:rPr>
          <w:rFonts w:hint="eastAsia" w:ascii="仿宋" w:hAnsi="仿宋" w:eastAsia="仿宋" w:cs="仿宋"/>
          <w:i w:val="0"/>
          <w:caps w:val="0"/>
          <w:color w:val="555555"/>
          <w:spacing w:val="0"/>
          <w:sz w:val="32"/>
          <w:szCs w:val="32"/>
          <w:shd w:val="clear" w:fill="FFFFFF"/>
          <w:lang w:eastAsia="zh-CN"/>
        </w:rPr>
        <w:t>55231009</w:t>
      </w:r>
      <w:r>
        <w:rPr>
          <w:rFonts w:hint="eastAsia" w:ascii="仿宋" w:hAnsi="仿宋" w:eastAsia="仿宋" w:cs="仿宋"/>
          <w:i w:val="0"/>
          <w:caps w:val="0"/>
          <w:color w:val="555555"/>
          <w:spacing w:val="0"/>
          <w:sz w:val="32"/>
          <w:szCs w:val="32"/>
          <w:shd w:val="clear" w:fill="FFFFFF"/>
        </w:rPr>
        <w:t>。</w:t>
      </w:r>
    </w:p>
    <w:p>
      <w:pPr>
        <w:pStyle w:val="2"/>
        <w:keepNext w:val="0"/>
        <w:keepLines w:val="0"/>
        <w:widowControl/>
        <w:numPr>
          <w:ilvl w:val="0"/>
          <w:numId w:val="1"/>
        </w:numPr>
        <w:suppressLineNumbers w:val="0"/>
        <w:shd w:val="clear" w:fill="FFFFFF"/>
        <w:spacing w:before="0" w:beforeAutospacing="0" w:after="375" w:afterAutospacing="0" w:line="555" w:lineRule="atLeast"/>
        <w:ind w:left="0" w:right="0" w:firstLine="645"/>
        <w:jc w:val="both"/>
        <w:rPr>
          <w:rFonts w:hint="eastAsia" w:ascii="仿宋_GB2312" w:hAnsi="仿宋_GB2312" w:eastAsia="仿宋_GB2312" w:cs="仿宋_GB2312"/>
          <w:color w:val="3D3D3D"/>
          <w:sz w:val="32"/>
          <w:szCs w:val="32"/>
        </w:rPr>
      </w:pPr>
      <w:r>
        <w:rPr>
          <w:rFonts w:hint="eastAsia" w:ascii="黑体" w:hAnsi="黑体" w:eastAsia="黑体" w:cs="黑体"/>
          <w:i w:val="0"/>
          <w:caps w:val="0"/>
          <w:color w:val="3D3D3D"/>
          <w:spacing w:val="0"/>
          <w:sz w:val="32"/>
          <w:szCs w:val="32"/>
          <w:shd w:val="clear" w:fill="FFFFFF"/>
          <w:lang w:eastAsia="zh-CN"/>
        </w:rPr>
        <w:t>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（一）全面部署工作</w:t>
      </w:r>
      <w:r>
        <w:rPr>
          <w:rFonts w:hint="eastAsia" w:ascii="仿宋_GB2312" w:hAnsi="仿宋_GB2312" w:eastAsia="仿宋_GB2312" w:cs="仿宋_GB2312"/>
          <w:color w:val="3D3D3D"/>
          <w:sz w:val="32"/>
          <w:szCs w:val="32"/>
          <w:lang w:eastAsia="zh-CN"/>
        </w:rPr>
        <w:t>。</w:t>
      </w:r>
      <w:r>
        <w:rPr>
          <w:rFonts w:hint="eastAsia" w:ascii="仿宋_GB2312" w:hAnsi="仿宋_GB2312" w:eastAsia="仿宋_GB2312" w:cs="仿宋_GB2312"/>
          <w:color w:val="3D3D3D"/>
          <w:sz w:val="32"/>
          <w:szCs w:val="32"/>
        </w:rPr>
        <w:t>街道领导高度重视政府信息公开工作，切实把信息公开工作列入重要议事日程，全面部署相关工作，及时调整了政府信息公开领导小组，形成"主要领导亲自抓、分管领导具体抓、责任部门抓落实"的工作机制。领导小组办公室设在街道政务中心，具体负责政府信息公开的日常工作并承担片区服务中心信息公开工作推进、指导、协调和监督工作。并指定了1名宣传干事，负责信息收集上报和审核监督工作。截至2020年底，我街道政府信息公开工作运行正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（二）加强舆论宣传</w:t>
      </w:r>
      <w:r>
        <w:rPr>
          <w:rFonts w:hint="eastAsia" w:ascii="仿宋_GB2312" w:hAnsi="仿宋_GB2312" w:eastAsia="仿宋_GB2312" w:cs="仿宋_GB2312"/>
          <w:color w:val="3D3D3D"/>
          <w:sz w:val="32"/>
          <w:szCs w:val="32"/>
          <w:lang w:eastAsia="zh-CN"/>
        </w:rPr>
        <w:t>。</w:t>
      </w:r>
      <w:r>
        <w:rPr>
          <w:rFonts w:hint="eastAsia" w:ascii="仿宋_GB2312" w:hAnsi="仿宋_GB2312" w:eastAsia="仿宋_GB2312" w:cs="仿宋_GB2312"/>
          <w:color w:val="3D3D3D"/>
          <w:sz w:val="32"/>
          <w:szCs w:val="32"/>
        </w:rPr>
        <w:t>我街道通过开展多种形式的宣传活动，充分利用信息公开平台、街道办公楼大厅显示屏以及各类服务指南卡册、宣传栏、宣传横幅、宣传板报等宣传平台进行信息发布和宣传。努力创造条件，让更多公众了解政府信息的查询方式和基本内容，充分保障其知情权、参与权和监督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（三）开展学习培训</w:t>
      </w:r>
      <w:r>
        <w:rPr>
          <w:rFonts w:hint="eastAsia" w:ascii="仿宋_GB2312" w:hAnsi="仿宋_GB2312" w:eastAsia="仿宋_GB2312" w:cs="仿宋_GB2312"/>
          <w:color w:val="3D3D3D"/>
          <w:sz w:val="32"/>
          <w:szCs w:val="32"/>
          <w:lang w:eastAsia="zh-CN"/>
        </w:rPr>
        <w:t>。</w:t>
      </w:r>
      <w:r>
        <w:rPr>
          <w:rFonts w:hint="eastAsia" w:ascii="仿宋_GB2312" w:hAnsi="仿宋_GB2312" w:eastAsia="仿宋_GB2312" w:cs="仿宋_GB2312"/>
          <w:color w:val="3D3D3D"/>
          <w:sz w:val="32"/>
          <w:szCs w:val="32"/>
        </w:rPr>
        <w:t>我街道为提高工作人员依法办理申请公开政府信息的水平，组织了专业培训，使具体承办人员对于《条例》、《中华人民共和国行政许可法》等有关法律法规精神进一步学习、领会。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（四）进一步编制政府信息公开目录</w:t>
      </w:r>
      <w:r>
        <w:rPr>
          <w:rFonts w:hint="eastAsia" w:ascii="仿宋_GB2312" w:hAnsi="仿宋_GB2312" w:eastAsia="仿宋_GB2312" w:cs="仿宋_GB2312"/>
          <w:color w:val="3D3D3D"/>
          <w:sz w:val="32"/>
          <w:szCs w:val="32"/>
          <w:lang w:eastAsia="zh-CN"/>
        </w:rPr>
        <w:t>。</w:t>
      </w:r>
      <w:r>
        <w:rPr>
          <w:rFonts w:hint="eastAsia" w:ascii="仿宋_GB2312" w:hAnsi="仿宋_GB2312" w:eastAsia="仿宋_GB2312" w:cs="仿宋_GB2312"/>
          <w:color w:val="3D3D3D"/>
          <w:sz w:val="32"/>
          <w:szCs w:val="32"/>
        </w:rPr>
        <w:t>规范政府信息公开目录并持续更新，对需要了解本单位信息的公民、法人和其他组织提供引导途径，方便群众获取信息。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（五）建立健全政府信息公开配套制度</w:t>
      </w:r>
      <w:r>
        <w:rPr>
          <w:rFonts w:hint="eastAsia" w:ascii="仿宋_GB2312" w:hAnsi="仿宋_GB2312" w:eastAsia="仿宋_GB2312" w:cs="仿宋_GB2312"/>
          <w:color w:val="3D3D3D"/>
          <w:sz w:val="32"/>
          <w:szCs w:val="32"/>
          <w:lang w:eastAsia="zh-CN"/>
        </w:rPr>
        <w:t>。</w:t>
      </w:r>
      <w:r>
        <w:rPr>
          <w:rFonts w:hint="eastAsia" w:ascii="仿宋_GB2312" w:hAnsi="仿宋_GB2312" w:eastAsia="仿宋_GB2312" w:cs="仿宋_GB2312"/>
          <w:color w:val="3D3D3D"/>
          <w:sz w:val="32"/>
          <w:szCs w:val="32"/>
        </w:rPr>
        <w:t>根据《中华人民共和国政府信息公开条例》的要求，认真总结本街道政府信息公开工作，制定了本年全街道政务公开服务工作计划，发至全体村（社区）、部门贯彻执行。</w:t>
      </w:r>
    </w:p>
    <w:p>
      <w:pPr>
        <w:pStyle w:val="2"/>
        <w:keepNext w:val="0"/>
        <w:keepLines w:val="0"/>
        <w:widowControl/>
        <w:suppressLineNumbers w:val="0"/>
        <w:shd w:val="clear" w:fill="FFFFFF"/>
        <w:spacing w:before="0" w:beforeAutospacing="0" w:after="375" w:afterAutospacing="0" w:line="555" w:lineRule="atLeast"/>
        <w:ind w:left="0" w:right="0" w:firstLine="645"/>
        <w:jc w:val="both"/>
        <w:rPr>
          <w:rFonts w:hint="eastAsia" w:ascii="黑体" w:hAnsi="黑体" w:eastAsia="黑体" w:cs="黑体"/>
          <w:i w:val="0"/>
          <w:caps w:val="0"/>
          <w:color w:val="3D3D3D"/>
          <w:spacing w:val="0"/>
          <w:sz w:val="32"/>
          <w:szCs w:val="32"/>
          <w:shd w:val="clear" w:fill="FFFFFF"/>
          <w:lang w:eastAsia="zh-CN"/>
        </w:rPr>
      </w:pPr>
      <w:r>
        <w:rPr>
          <w:rFonts w:hint="eastAsia" w:ascii="微软雅黑" w:hAnsi="微软雅黑" w:eastAsia="微软雅黑" w:cs="微软雅黑"/>
          <w:i w:val="0"/>
          <w:caps w:val="0"/>
          <w:color w:val="555555"/>
          <w:spacing w:val="0"/>
          <w:kern w:val="0"/>
          <w:sz w:val="27"/>
          <w:szCs w:val="27"/>
          <w:shd w:val="clear" w:fill="FFFFFF"/>
          <w:lang w:val="en-US" w:eastAsia="zh-CN" w:bidi="ar"/>
        </w:rPr>
        <w:t> </w:t>
      </w:r>
      <w:r>
        <w:rPr>
          <w:rFonts w:hint="eastAsia" w:ascii="黑体" w:hAnsi="黑体" w:eastAsia="黑体" w:cs="黑体"/>
          <w:i w:val="0"/>
          <w:caps w:val="0"/>
          <w:color w:val="3D3D3D"/>
          <w:spacing w:val="0"/>
          <w:sz w:val="32"/>
          <w:szCs w:val="32"/>
          <w:shd w:val="clear" w:fill="FFFFFF"/>
          <w:lang w:eastAsia="zh-CN"/>
        </w:rPr>
        <w:t>二、主动公开政府信息情况</w:t>
      </w:r>
    </w:p>
    <w:tbl>
      <w:tblPr>
        <w:tblStyle w:val="3"/>
        <w:tblW w:w="8140" w:type="dxa"/>
        <w:jc w:val="center"/>
        <w:shd w:val="clear" w:color="auto" w:fill="auto"/>
        <w:tblLayout w:type="autofit"/>
        <w:tblCellMar>
          <w:top w:w="0" w:type="dxa"/>
          <w:left w:w="108" w:type="dxa"/>
          <w:bottom w:w="0" w:type="dxa"/>
          <w:right w:w="108" w:type="dxa"/>
        </w:tblCellMar>
      </w:tblPr>
      <w:tblGrid>
        <w:gridCol w:w="3113"/>
        <w:gridCol w:w="1875"/>
        <w:gridCol w:w="6"/>
        <w:gridCol w:w="1265"/>
        <w:gridCol w:w="1881"/>
      </w:tblGrid>
      <w:tr>
        <w:tblPrEx>
          <w:shd w:val="clear" w:color="auto" w:fill="auto"/>
          <w:tblCellMar>
            <w:top w:w="0" w:type="dxa"/>
            <w:left w:w="108" w:type="dxa"/>
            <w:bottom w:w="0" w:type="dxa"/>
            <w:right w:w="108" w:type="dxa"/>
          </w:tblCellMar>
        </w:tblPrEx>
        <w:trPr>
          <w:trHeight w:val="495"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第二十条第（一）项</w:t>
            </w:r>
          </w:p>
        </w:tc>
      </w:tr>
      <w:tr>
        <w:tblPrEx>
          <w:tblCellMar>
            <w:top w:w="0" w:type="dxa"/>
            <w:left w:w="108" w:type="dxa"/>
            <w:bottom w:w="0" w:type="dxa"/>
            <w:right w:w="108" w:type="dxa"/>
          </w:tblCellMar>
        </w:tblPrEx>
        <w:trPr>
          <w:trHeight w:val="882"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制作数量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公开数量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对外公开总数量</w:t>
            </w:r>
          </w:p>
        </w:tc>
      </w:tr>
      <w:tr>
        <w:tblPrEx>
          <w:tblCellMar>
            <w:top w:w="0" w:type="dxa"/>
            <w:left w:w="108" w:type="dxa"/>
            <w:bottom w:w="0" w:type="dxa"/>
            <w:right w:w="108" w:type="dxa"/>
          </w:tblCellMar>
        </w:tblPrEx>
        <w:trPr>
          <w:trHeight w:val="523"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规章</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71"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80"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第二十条第（五）项</w:t>
            </w:r>
          </w:p>
        </w:tc>
      </w:tr>
      <w:tr>
        <w:tblPrEx>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处理决定数量</w:t>
            </w:r>
          </w:p>
        </w:tc>
      </w:tr>
      <w:tr>
        <w:tblPrEx>
          <w:tblCellMar>
            <w:top w:w="0" w:type="dxa"/>
            <w:left w:w="108" w:type="dxa"/>
            <w:bottom w:w="0" w:type="dxa"/>
            <w:right w:w="108" w:type="dxa"/>
          </w:tblCellMar>
        </w:tblPrEx>
        <w:trPr>
          <w:trHeight w:val="528"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55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其他对外管理服务事项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0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第二十条第（六）项</w:t>
            </w:r>
          </w:p>
        </w:tc>
      </w:tr>
      <w:tr>
        <w:tblPrEx>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处理决定数量</w:t>
            </w:r>
          </w:p>
        </w:tc>
      </w:tr>
      <w:tr>
        <w:tblPrEx>
          <w:tblCellMar>
            <w:top w:w="0" w:type="dxa"/>
            <w:left w:w="108" w:type="dxa"/>
            <w:bottom w:w="0" w:type="dxa"/>
            <w:right w:w="108" w:type="dxa"/>
          </w:tblCellMar>
        </w:tblPrEx>
        <w:trPr>
          <w:trHeight w:val="43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行政处罚</w:t>
            </w:r>
          </w:p>
        </w:tc>
        <w:tc>
          <w:tcPr>
            <w:tcW w:w="1881"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09"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74"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第二十条第（八）项</w:t>
            </w:r>
          </w:p>
        </w:tc>
      </w:tr>
      <w:tr>
        <w:tblPrEx>
          <w:tblCellMar>
            <w:top w:w="0" w:type="dxa"/>
            <w:left w:w="108" w:type="dxa"/>
            <w:bottom w:w="0" w:type="dxa"/>
            <w:right w:w="108" w:type="dxa"/>
          </w:tblCellMar>
        </w:tblPrEx>
        <w:trPr>
          <w:trHeight w:val="27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r>
      <w:tr>
        <w:tblPrEx>
          <w:tblCellMar>
            <w:top w:w="0" w:type="dxa"/>
            <w:left w:w="108" w:type="dxa"/>
            <w:bottom w:w="0" w:type="dxa"/>
            <w:right w:w="108" w:type="dxa"/>
          </w:tblCellMar>
        </w:tblPrEx>
        <w:trPr>
          <w:trHeight w:val="551"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7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第二十条第（九）项</w:t>
            </w:r>
          </w:p>
        </w:tc>
      </w:tr>
      <w:tr>
        <w:tblPrEx>
          <w:tblCellMar>
            <w:top w:w="0" w:type="dxa"/>
            <w:left w:w="108" w:type="dxa"/>
            <w:bottom w:w="0" w:type="dxa"/>
            <w:right w:w="108" w:type="dxa"/>
          </w:tblCellMar>
        </w:tblPrEx>
        <w:trPr>
          <w:trHeight w:val="585"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采购总金额</w:t>
            </w:r>
          </w:p>
        </w:tc>
      </w:tr>
      <w:tr>
        <w:tblPrEx>
          <w:tblCellMar>
            <w:top w:w="0" w:type="dxa"/>
            <w:left w:w="108" w:type="dxa"/>
            <w:bottom w:w="0" w:type="dxa"/>
            <w:right w:w="108" w:type="dxa"/>
          </w:tblCellMar>
        </w:tblPrEx>
        <w:trPr>
          <w:trHeight w:val="539"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ind w:firstLine="640" w:firstLineChars="200"/>
        <w:jc w:val="left"/>
        <w:rPr>
          <w:rFonts w:hint="eastAsia" w:ascii="黑体" w:hAnsi="黑体" w:eastAsia="黑体" w:cs="黑体"/>
          <w:i w:val="0"/>
          <w:caps w:val="0"/>
          <w:color w:val="3D3D3D"/>
          <w:spacing w:val="0"/>
          <w:sz w:val="32"/>
          <w:szCs w:val="32"/>
          <w:shd w:val="clear" w:fill="FFFFFF"/>
          <w:lang w:eastAsia="zh-CN"/>
        </w:rPr>
      </w:pPr>
      <w:r>
        <w:rPr>
          <w:rFonts w:hint="eastAsia" w:ascii="黑体" w:hAnsi="黑体" w:eastAsia="黑体" w:cs="黑体"/>
          <w:i w:val="0"/>
          <w:caps w:val="0"/>
          <w:color w:val="3D3D3D"/>
          <w:spacing w:val="0"/>
          <w:sz w:val="32"/>
          <w:szCs w:val="32"/>
          <w:shd w:val="clear" w:fill="FFFFFF"/>
          <w:lang w:eastAsia="zh-CN"/>
        </w:rPr>
        <w:t>三、收到和处理政府信息公开申请情况</w:t>
      </w:r>
    </w:p>
    <w:tbl>
      <w:tblPr>
        <w:tblStyle w:val="3"/>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92"/>
        <w:gridCol w:w="710"/>
        <w:gridCol w:w="2034"/>
        <w:gridCol w:w="787"/>
        <w:gridCol w:w="730"/>
        <w:gridCol w:w="730"/>
        <w:gridCol w:w="787"/>
        <w:gridCol w:w="945"/>
        <w:gridCol w:w="688"/>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jc w:val="center"/>
        </w:trPr>
        <w:tc>
          <w:tcPr>
            <w:tcW w:w="313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（本列数据的勾稽关系为：第一项加第二项之和，等于第三项加第四项之和）</w:t>
            </w:r>
          </w:p>
        </w:tc>
        <w:tc>
          <w:tcPr>
            <w:tcW w:w="5338"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13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87"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自然人</w:t>
            </w:r>
          </w:p>
        </w:tc>
        <w:tc>
          <w:tcPr>
            <w:tcW w:w="388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法人或其他组织</w:t>
            </w:r>
          </w:p>
        </w:tc>
        <w:tc>
          <w:tcPr>
            <w:tcW w:w="671"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13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87"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商业企业</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科研机构</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社会公益组织</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法律服务机构</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w:t>
            </w:r>
          </w:p>
        </w:tc>
        <w:tc>
          <w:tcPr>
            <w:tcW w:w="671" w:type="dxa"/>
            <w:vMerge w:val="continue"/>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一、本年新收政府信息公开申请数量</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二、上年结转政府信息公开申请数量</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三、本年度办理结果</w:t>
            </w: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（一）予以公开</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（二）部分公开（区分处理的，只计这一情形，不计其他情形）</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（三）不予公开</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1.属于国家秘密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2.其他法律行政法规禁止公开</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3.危及“三安全一稳定”</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4.保护第三方合法权益</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5.属于三类内部事务信息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6.属于四类过程性信息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7.属于行政执法案卷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8.属于行政查询事项</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（四）无法提供</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1.本机关不掌握相关政府信息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2.没有现成信息需要另行制作</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3.补正后申请内容仍不明确</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（五）不予处理</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1.信访举报投诉类申请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2.重复申请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3.要求提供公开出版物</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4.无正当理由大量反复申请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5.要求行政机关确认或重新出具已获取信息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（六）其他处理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（七）总计</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四、结转下年度继续办理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r>
    </w:tbl>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四、政府信息公开行政复议、行政诉讼情况</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tbl>
      <w:tblPr>
        <w:tblStyle w:val="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行政复议</w:t>
            </w:r>
          </w:p>
        </w:tc>
        <w:tc>
          <w:tcPr>
            <w:tcW w:w="5997"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其他结果</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58"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总计</w:t>
            </w:r>
          </w:p>
        </w:tc>
        <w:tc>
          <w:tcPr>
            <w:tcW w:w="2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未经复议直接起诉</w:t>
            </w:r>
          </w:p>
        </w:tc>
        <w:tc>
          <w:tcPr>
            <w:tcW w:w="302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58"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其他结果</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总计</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spacing w:before="0" w:beforeAutospacing="0" w:after="0" w:afterAutospacing="0"/>
        <w:ind w:left="0" w:right="0"/>
        <w:jc w:val="left"/>
      </w:pPr>
    </w:p>
    <w:p>
      <w:pPr>
        <w:pStyle w:val="2"/>
        <w:keepNext w:val="0"/>
        <w:keepLines w:val="0"/>
        <w:widowControl/>
        <w:numPr>
          <w:ilvl w:val="0"/>
          <w:numId w:val="2"/>
        </w:numPr>
        <w:suppressLineNumbers w:val="0"/>
        <w:spacing w:before="0" w:beforeAutospacing="0" w:after="0" w:afterAutospacing="0" w:line="432" w:lineRule="auto"/>
        <w:ind w:firstLine="640" w:firstLineChars="20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存在的主要问题及改进情况</w:t>
      </w:r>
    </w:p>
    <w:p>
      <w:pPr>
        <w:ind w:firstLine="640" w:firstLineChars="200"/>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t>1、信息公开的涵盖面不够广泛。应该更加深入研究群众的需求，完善群众关注内容的公布。</w:t>
      </w:r>
    </w:p>
    <w:p>
      <w:pPr>
        <w:ind w:firstLine="640" w:firstLineChars="200"/>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仿宋" w:hAnsi="仿宋" w:eastAsia="仿宋" w:cs="仿宋"/>
          <w:color w:val="333333"/>
          <w:sz w:val="32"/>
          <w:szCs w:val="32"/>
          <w:lang w:eastAsia="zh-CN"/>
        </w:rPr>
        <w:t>2、宣传和宣传培训力度不够大，在未来的工作中通过更多更精的培训提高政府机关工作人员对《条例》的学习和培训。开展更新更多的宣传活动，创造条件促使社会公众了解政府信息的查询方式和基本内容，充分提高信息公开知晓度。</w:t>
      </w:r>
    </w:p>
    <w:p>
      <w:pPr>
        <w:pStyle w:val="2"/>
        <w:keepNext w:val="0"/>
        <w:keepLines w:val="0"/>
        <w:widowControl/>
        <w:suppressLineNumbers w:val="0"/>
        <w:spacing w:before="0" w:beforeAutospacing="0" w:after="0" w:afterAutospacing="0" w:line="432" w:lineRule="auto"/>
        <w:ind w:firstLine="640" w:firstLineChars="20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六、其他需要报告的事项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color w:val="333333"/>
          <w:sz w:val="32"/>
          <w:szCs w:val="32"/>
          <w:lang w:eastAsia="zh-CN"/>
        </w:rPr>
        <w:t>无</w:t>
      </w:r>
      <w:r>
        <w:rPr>
          <w:rFonts w:hint="eastAsia" w:ascii="仿宋" w:hAnsi="仿宋" w:eastAsia="仿宋" w:cs="仿宋"/>
          <w:color w:val="333333"/>
          <w:sz w:val="32"/>
          <w:szCs w:val="32"/>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640" w:firstLineChars="200"/>
        <w:jc w:val="left"/>
        <w:rPr>
          <w:rFonts w:hint="default" w:ascii="仿宋_GB2312" w:eastAsia="仿宋_GB2312" w:cs="仿宋_GB2312" w:hAnsiTheme="minorHAnsi"/>
          <w:i w:val="0"/>
          <w:caps w:val="0"/>
          <w:color w:val="555555"/>
          <w:spacing w:val="0"/>
          <w:kern w:val="0"/>
          <w:sz w:val="32"/>
          <w:szCs w:val="32"/>
          <w:shd w:val="clear" w:fill="FFFFFF"/>
          <w:lang w:val="en-US" w:eastAsia="zh-CN" w:bidi="ar"/>
        </w:rPr>
      </w:pPr>
    </w:p>
    <w:p>
      <w:pPr>
        <w:ind w:firstLine="640" w:firstLineChars="200"/>
        <w:rPr>
          <w:rFonts w:hint="eastAsia" w:ascii="仿宋" w:eastAsia="仿宋"/>
          <w:sz w:val="32"/>
          <w:szCs w:val="32"/>
        </w:rPr>
      </w:pPr>
      <w:r>
        <w:rPr>
          <w:rFonts w:hint="default" w:ascii="仿宋_GB2312" w:eastAsia="仿宋_GB2312" w:cs="仿宋_GB2312" w:hAnsiTheme="minorHAnsi"/>
          <w:i w:val="0"/>
          <w:caps w:val="0"/>
          <w:color w:val="555555"/>
          <w:spacing w:val="0"/>
          <w:kern w:val="0"/>
          <w:sz w:val="32"/>
          <w:szCs w:val="32"/>
          <w:shd w:val="clear" w:fill="FFFFFF"/>
          <w:lang w:val="en-US" w:eastAsia="zh-CN" w:bidi="ar"/>
        </w:rPr>
        <w:t> </w:t>
      </w:r>
    </w:p>
    <w:p>
      <w:pPr>
        <w:jc w:val="left"/>
        <w:rPr>
          <w:rFonts w:hint="eastAsia" w:asci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4A29BD"/>
    <w:multiLevelType w:val="singleLevel"/>
    <w:tmpl w:val="EB4A29BD"/>
    <w:lvl w:ilvl="0" w:tentative="0">
      <w:start w:val="5"/>
      <w:numFmt w:val="chineseCounting"/>
      <w:suff w:val="nothing"/>
      <w:lvlText w:val="%1、"/>
      <w:lvlJc w:val="left"/>
      <w:rPr>
        <w:rFonts w:hint="eastAsia"/>
      </w:rPr>
    </w:lvl>
  </w:abstractNum>
  <w:abstractNum w:abstractNumId="1">
    <w:nsid w:val="6A7E218D"/>
    <w:multiLevelType w:val="singleLevel"/>
    <w:tmpl w:val="6A7E218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E533A"/>
    <w:rsid w:val="03AA2D4C"/>
    <w:rsid w:val="16AF6EEE"/>
    <w:rsid w:val="1F1C066B"/>
    <w:rsid w:val="25BA3E57"/>
    <w:rsid w:val="2C0A40A3"/>
    <w:rsid w:val="31A63FD1"/>
    <w:rsid w:val="39BA6E74"/>
    <w:rsid w:val="3D8B73B8"/>
    <w:rsid w:val="3FF303EA"/>
    <w:rsid w:val="6031579D"/>
    <w:rsid w:val="6AF025EA"/>
    <w:rsid w:val="6BD96D75"/>
    <w:rsid w:val="70D35305"/>
    <w:rsid w:val="70DE5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2745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2021-01-28T09:13:00Z</dcterms:created>
  <dc:creator>大大</dc:creator>
  <cp:lastModifiedBy>大大</cp:lastModifiedBy>
  <dcterms:modified xsi:type="dcterms:W3CDTF">2021-02-09T02:55:58Z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