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i w:val="0"/>
          <w:caps w:val="0"/>
          <w:color w:val="3D3D3D"/>
          <w:spacing w:val="0"/>
          <w:sz w:val="32"/>
          <w:szCs w:val="32"/>
          <w:shd w:val="clear" w:fill="FFFFFF"/>
        </w:rPr>
      </w:pPr>
      <w:bookmarkStart w:id="0" w:name="_GoBack"/>
      <w:r>
        <w:rPr>
          <w:rFonts w:hint="eastAsia" w:ascii="黑体" w:hAnsi="黑体" w:eastAsia="黑体" w:cs="黑体"/>
          <w:b/>
          <w:i w:val="0"/>
          <w:caps w:val="0"/>
          <w:color w:val="3D3D3D"/>
          <w:spacing w:val="0"/>
          <w:sz w:val="44"/>
          <w:szCs w:val="44"/>
          <w:shd w:val="clear" w:fill="FFFFFF"/>
          <w:lang w:eastAsia="zh-CN"/>
        </w:rPr>
        <w:t>呼兰区石人镇人民政府2</w:t>
      </w:r>
      <w:r>
        <w:rPr>
          <w:rFonts w:hint="eastAsia" w:ascii="黑体" w:hAnsi="黑体" w:eastAsia="黑体" w:cs="黑体"/>
          <w:b/>
          <w:i w:val="0"/>
          <w:caps w:val="0"/>
          <w:color w:val="3D3D3D"/>
          <w:spacing w:val="0"/>
          <w:sz w:val="44"/>
          <w:szCs w:val="44"/>
          <w:shd w:val="clear" w:fill="FFFFFF"/>
        </w:rPr>
        <w:t>020年政府信息公开工作年度报告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 w:hAnsi="仿宋" w:eastAsia="仿宋" w:cs="仿宋"/>
          <w:i w:val="0"/>
          <w:caps w:val="0"/>
          <w:color w:val="555555"/>
          <w:spacing w:val="0"/>
          <w:sz w:val="32"/>
          <w:szCs w:val="32"/>
          <w:shd w:val="clear" w:fill="FFFFFF"/>
        </w:rPr>
      </w:pPr>
      <w:r>
        <w:rPr>
          <w:rFonts w:hint="eastAsia" w:ascii="仿宋_GB2312" w:hAnsi="仿宋_GB2312" w:eastAsia="仿宋_GB2312" w:cs="仿宋_GB2312"/>
          <w:color w:val="3D3D3D"/>
          <w:sz w:val="32"/>
          <w:szCs w:val="32"/>
        </w:rPr>
        <w:t>根据新修订的《中华人民共和国政府信息公开条例》（以下简称新《条例》）、《国务院办公厅政府信息与政务公开办公室关于政府信息公开工作年度报告有关事项的通知》（国办公开办函</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2019</w:t>
      </w:r>
      <w:r>
        <w:rPr>
          <w:rFonts w:hint="eastAsia" w:ascii="微软雅黑" w:hAnsi="微软雅黑" w:eastAsia="微软雅黑" w:cs="微软雅黑"/>
          <w:color w:val="3D3D3D"/>
          <w:sz w:val="32"/>
          <w:szCs w:val="32"/>
        </w:rPr>
        <w:t>﹞</w:t>
      </w:r>
      <w:r>
        <w:rPr>
          <w:rFonts w:hint="eastAsia" w:ascii="仿宋_GB2312" w:hAnsi="仿宋_GB2312" w:eastAsia="仿宋_GB2312" w:cs="仿宋_GB2312"/>
          <w:color w:val="3D3D3D"/>
          <w:sz w:val="32"/>
          <w:szCs w:val="32"/>
        </w:rPr>
        <w:t>60号，以下简称《通知》）和《哈尔滨市政府信息公开办法》（以下简称《办法》）有关规定，在总结我</w:t>
      </w:r>
      <w:r>
        <w:rPr>
          <w:rFonts w:hint="eastAsia" w:ascii="仿宋_GB2312" w:hAnsi="仿宋_GB2312" w:eastAsia="仿宋_GB2312" w:cs="仿宋_GB2312"/>
          <w:color w:val="3D3D3D"/>
          <w:sz w:val="32"/>
          <w:szCs w:val="32"/>
          <w:lang w:val="en-US" w:eastAsia="zh-CN"/>
        </w:rPr>
        <w:t>镇</w:t>
      </w:r>
      <w:r>
        <w:rPr>
          <w:rFonts w:hint="eastAsia" w:ascii="仿宋_GB2312" w:hAnsi="仿宋_GB2312" w:eastAsia="仿宋_GB2312" w:cs="仿宋_GB2312"/>
          <w:color w:val="3D3D3D"/>
          <w:sz w:val="32"/>
          <w:szCs w:val="32"/>
        </w:rPr>
        <w:t>2020年政府信息公开工作的基础上，编制此报告。报告中所列数据统计期限自2020年1月1日起至2020年12月31日止。</w:t>
      </w:r>
      <w:r>
        <w:rPr>
          <w:rFonts w:hint="eastAsia" w:ascii="仿宋" w:hAnsi="仿宋" w:eastAsia="仿宋" w:cs="仿宋"/>
          <w:i w:val="0"/>
          <w:caps w:val="0"/>
          <w:color w:val="555555"/>
          <w:spacing w:val="0"/>
          <w:sz w:val="32"/>
          <w:szCs w:val="32"/>
          <w:shd w:val="clear" w:fill="FFFFFF"/>
        </w:rPr>
        <w:t>本报告通过“</w:t>
      </w:r>
      <w:r>
        <w:rPr>
          <w:rFonts w:hint="eastAsia" w:ascii="仿宋" w:hAnsi="仿宋" w:eastAsia="仿宋" w:cs="仿宋"/>
          <w:i w:val="0"/>
          <w:caps w:val="0"/>
          <w:color w:val="555555"/>
          <w:spacing w:val="0"/>
          <w:sz w:val="32"/>
          <w:szCs w:val="32"/>
          <w:shd w:val="clear" w:fill="FFFFFF"/>
          <w:lang w:eastAsia="zh-CN"/>
        </w:rPr>
        <w:t>呼兰区人民政府网站</w:t>
      </w:r>
      <w:r>
        <w:rPr>
          <w:rFonts w:hint="eastAsia" w:ascii="仿宋" w:hAnsi="仿宋" w:eastAsia="仿宋" w:cs="仿宋"/>
          <w:i w:val="0"/>
          <w:caps w:val="0"/>
          <w:color w:val="555555"/>
          <w:spacing w:val="0"/>
          <w:sz w:val="32"/>
          <w:szCs w:val="32"/>
          <w:shd w:val="clear" w:fill="FFFFFF"/>
        </w:rPr>
        <w:t>”（http://www.hulan.gov.cn/）查阅向社会公布。若对本报告有任何疑问或意见建议，请联系</w:t>
      </w:r>
      <w:r>
        <w:rPr>
          <w:rFonts w:hint="eastAsia" w:ascii="仿宋" w:hAnsi="仿宋" w:eastAsia="仿宋" w:cs="仿宋"/>
          <w:i w:val="0"/>
          <w:caps w:val="0"/>
          <w:color w:val="555555"/>
          <w:spacing w:val="0"/>
          <w:sz w:val="32"/>
          <w:szCs w:val="32"/>
          <w:shd w:val="clear" w:fill="FFFFFF"/>
          <w:lang w:eastAsia="zh-CN"/>
        </w:rPr>
        <w:t>呼兰区石人镇政府，联系电话</w:t>
      </w:r>
      <w:r>
        <w:rPr>
          <w:rFonts w:hint="eastAsia" w:ascii="仿宋" w:hAnsi="仿宋" w:eastAsia="仿宋" w:cs="仿宋"/>
          <w:i w:val="0"/>
          <w:caps w:val="0"/>
          <w:color w:val="555555"/>
          <w:spacing w:val="0"/>
          <w:sz w:val="32"/>
          <w:szCs w:val="32"/>
          <w:shd w:val="clear" w:fill="FFFFFF"/>
          <w:lang w:val="en-US" w:eastAsia="zh-CN"/>
        </w:rPr>
        <w:t>0451-</w:t>
      </w:r>
      <w:r>
        <w:rPr>
          <w:rFonts w:hint="eastAsia" w:ascii="仿宋" w:hAnsi="仿宋" w:eastAsia="仿宋" w:cs="仿宋"/>
          <w:i w:val="0"/>
          <w:caps w:val="0"/>
          <w:color w:val="555555"/>
          <w:spacing w:val="0"/>
          <w:sz w:val="32"/>
          <w:szCs w:val="32"/>
          <w:shd w:val="clear" w:fill="FFFFFF"/>
          <w:lang w:eastAsia="zh-CN"/>
        </w:rPr>
        <w:t>55218320</w:t>
      </w:r>
      <w:r>
        <w:rPr>
          <w:rFonts w:hint="eastAsia" w:ascii="仿宋" w:hAnsi="仿宋" w:eastAsia="仿宋" w:cs="仿宋"/>
          <w:i w:val="0"/>
          <w:caps w:val="0"/>
          <w:color w:val="555555"/>
          <w:spacing w:val="0"/>
          <w:sz w:val="32"/>
          <w:szCs w:val="32"/>
          <w:shd w:val="clear" w:fill="FFFFFF"/>
        </w:rPr>
        <w:t>。</w:t>
      </w:r>
    </w:p>
    <w:p>
      <w:pPr>
        <w:pStyle w:val="2"/>
        <w:keepNext w:val="0"/>
        <w:keepLines w:val="0"/>
        <w:widowControl/>
        <w:numPr>
          <w:ilvl w:val="0"/>
          <w:numId w:val="1"/>
        </w:numPr>
        <w:suppressLineNumbers w:val="0"/>
        <w:shd w:val="clear" w:fill="FFFFFF"/>
        <w:spacing w:before="0" w:beforeAutospacing="0" w:after="375" w:afterAutospacing="0" w:line="555" w:lineRule="atLeast"/>
        <w:ind w:left="0" w:right="0" w:firstLine="645"/>
        <w:jc w:val="both"/>
        <w:rPr>
          <w:rFonts w:hint="eastAsia" w:ascii="仿宋_GB2312" w:hAnsi="仿宋_GB2312" w:eastAsia="仿宋_GB2312" w:cs="仿宋_GB2312"/>
          <w:color w:val="3D3D3D"/>
          <w:sz w:val="32"/>
          <w:szCs w:val="32"/>
        </w:rPr>
      </w:pPr>
      <w:r>
        <w:rPr>
          <w:rFonts w:hint="eastAsia" w:ascii="黑体" w:hAnsi="黑体" w:eastAsia="黑体" w:cs="黑体"/>
          <w:i w:val="0"/>
          <w:caps w:val="0"/>
          <w:color w:val="3D3D3D"/>
          <w:spacing w:val="0"/>
          <w:sz w:val="32"/>
          <w:szCs w:val="32"/>
          <w:shd w:val="clear" w:fill="FFFFFF"/>
          <w:lang w:eastAsia="zh-CN"/>
        </w:rPr>
        <w:t>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2020年，在</w:t>
      </w:r>
      <w:r>
        <w:rPr>
          <w:rFonts w:hint="eastAsia" w:ascii="仿宋_GB2312" w:hAnsi="仿宋_GB2312" w:eastAsia="仿宋_GB2312" w:cs="仿宋_GB2312"/>
          <w:color w:val="3D3D3D"/>
          <w:sz w:val="32"/>
          <w:szCs w:val="32"/>
          <w:lang w:eastAsia="zh-CN"/>
        </w:rPr>
        <w:t>区</w:t>
      </w:r>
      <w:r>
        <w:rPr>
          <w:rFonts w:hint="eastAsia" w:ascii="仿宋_GB2312" w:hAnsi="仿宋_GB2312" w:eastAsia="仿宋_GB2312" w:cs="仿宋_GB2312"/>
          <w:color w:val="3D3D3D"/>
          <w:sz w:val="32"/>
          <w:szCs w:val="32"/>
        </w:rPr>
        <w:t>政府</w:t>
      </w:r>
      <w:r>
        <w:rPr>
          <w:rFonts w:hint="eastAsia" w:ascii="仿宋_GB2312" w:hAnsi="仿宋_GB2312" w:eastAsia="仿宋_GB2312" w:cs="仿宋_GB2312"/>
          <w:color w:val="3D3D3D"/>
          <w:sz w:val="32"/>
          <w:szCs w:val="32"/>
          <w:lang w:eastAsia="zh-CN"/>
        </w:rPr>
        <w:t>政务公开办</w:t>
      </w:r>
      <w:r>
        <w:rPr>
          <w:rFonts w:hint="eastAsia" w:ascii="仿宋_GB2312" w:hAnsi="仿宋_GB2312" w:eastAsia="仿宋_GB2312" w:cs="仿宋_GB2312"/>
          <w:color w:val="3D3D3D"/>
          <w:sz w:val="32"/>
          <w:szCs w:val="32"/>
        </w:rPr>
        <w:t>的业务指导下，紧紧围绕</w:t>
      </w:r>
      <w:r>
        <w:rPr>
          <w:rFonts w:hint="eastAsia" w:ascii="仿宋_GB2312" w:hAnsi="仿宋_GB2312" w:eastAsia="仿宋_GB2312" w:cs="仿宋_GB2312"/>
          <w:color w:val="3D3D3D"/>
          <w:sz w:val="32"/>
          <w:szCs w:val="32"/>
          <w:lang w:eastAsia="zh-CN"/>
        </w:rPr>
        <w:t>区</w:t>
      </w:r>
      <w:r>
        <w:rPr>
          <w:rFonts w:hint="eastAsia" w:ascii="仿宋_GB2312" w:hAnsi="仿宋_GB2312" w:eastAsia="仿宋_GB2312" w:cs="仿宋_GB2312"/>
          <w:color w:val="3D3D3D"/>
          <w:sz w:val="32"/>
          <w:szCs w:val="32"/>
        </w:rPr>
        <w:t>委、</w:t>
      </w:r>
      <w:r>
        <w:rPr>
          <w:rFonts w:hint="eastAsia" w:ascii="仿宋_GB2312" w:hAnsi="仿宋_GB2312" w:eastAsia="仿宋_GB2312" w:cs="仿宋_GB2312"/>
          <w:color w:val="3D3D3D"/>
          <w:sz w:val="32"/>
          <w:szCs w:val="32"/>
          <w:lang w:eastAsia="zh-CN"/>
        </w:rPr>
        <w:t>区</w:t>
      </w:r>
      <w:r>
        <w:rPr>
          <w:rFonts w:hint="eastAsia" w:ascii="仿宋_GB2312" w:hAnsi="仿宋_GB2312" w:eastAsia="仿宋_GB2312" w:cs="仿宋_GB2312"/>
          <w:color w:val="3D3D3D"/>
          <w:sz w:val="32"/>
          <w:szCs w:val="32"/>
        </w:rPr>
        <w:t>政府中心工作和信息公开工作重点，按照省、市、县统一部署，完善政务公开工作机制、加强政策解读、拓展公开渠道和公开方式、开展政务公开理论研究，进一步提高政府透明度和公信力，推进法治政府、创新政府、廉洁政府和服务型政府建设，保障公众对政府工作的知情权、参与权和监督权，扎实推进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（一）加强组织领导，完善工作机构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一是高度重视政府信息公开工作，实行专人负责制，严格落实领导负总责，分管领导分工负责，各职能部门各负其责，通河镇党委负责跟踪督查督办，形成纵向到底、横向到边、一级抓一级、一级对一级负责的工作机制；二是下设办公室设在政府办，负责统筹协调编制政府信息公开内容，全力推进政府信息公开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（二）建立规章制度，落实公开内容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依据《条例》和通河县政府信息公开有关文件要求，通河镇制定了镇人民政府信息公开制度，明确了政府信息公开的工作内容、形式和公开、受理、回复的反馈机制。严格遵循政府信息公开基本原则开展信息公开工作，做到“依法公开，真实公正，注重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（三）制定实施方案，及时督促落实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firstLineChars="200"/>
        <w:jc w:val="both"/>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制定具体实施方案，使信息公开工作做到有计划、有安排、有准备,形成了在党委、政府统一领导下齐抓共管的局面，防止政府公开工作走过场、流于形式。把推行政务公开与依法治理相结合，如通过政务公开，增加政务管理的透明度，广泛接受社会各界的监督。</w:t>
      </w:r>
    </w:p>
    <w:p>
      <w:pPr>
        <w:pStyle w:val="2"/>
        <w:keepNext w:val="0"/>
        <w:keepLines w:val="0"/>
        <w:widowControl/>
        <w:suppressLineNumbers w:val="0"/>
        <w:shd w:val="clear" w:fill="FFFFFF"/>
        <w:spacing w:before="0" w:beforeAutospacing="0" w:after="375" w:afterAutospacing="0" w:line="555" w:lineRule="atLeast"/>
        <w:ind w:left="0" w:right="0" w:firstLine="645"/>
        <w:jc w:val="both"/>
        <w:rPr>
          <w:rFonts w:hint="eastAsia" w:ascii="黑体" w:hAnsi="黑体" w:eastAsia="黑体" w:cs="黑体"/>
          <w:i w:val="0"/>
          <w:caps w:val="0"/>
          <w:color w:val="3D3D3D"/>
          <w:spacing w:val="0"/>
          <w:sz w:val="32"/>
          <w:szCs w:val="32"/>
          <w:shd w:val="clear" w:fill="FFFFFF"/>
          <w:lang w:eastAsia="zh-CN"/>
        </w:rPr>
      </w:pPr>
      <w:r>
        <w:rPr>
          <w:rFonts w:hint="eastAsia" w:ascii="微软雅黑" w:hAnsi="微软雅黑" w:eastAsia="微软雅黑" w:cs="微软雅黑"/>
          <w:i w:val="0"/>
          <w:caps w:val="0"/>
          <w:color w:val="555555"/>
          <w:spacing w:val="0"/>
          <w:kern w:val="0"/>
          <w:sz w:val="27"/>
          <w:szCs w:val="27"/>
          <w:shd w:val="clear" w:fill="FFFFFF"/>
          <w:lang w:val="en-US" w:eastAsia="zh-CN" w:bidi="ar"/>
        </w:rPr>
        <w:t> </w:t>
      </w:r>
      <w:r>
        <w:rPr>
          <w:rFonts w:hint="eastAsia" w:ascii="黑体" w:hAnsi="黑体" w:eastAsia="黑体" w:cs="黑体"/>
          <w:i w:val="0"/>
          <w:caps w:val="0"/>
          <w:color w:val="3D3D3D"/>
          <w:spacing w:val="0"/>
          <w:sz w:val="32"/>
          <w:szCs w:val="32"/>
          <w:shd w:val="clear" w:fill="FFFFFF"/>
          <w:lang w:eastAsia="zh-CN"/>
        </w:rPr>
        <w:t>二、主动公开政府信息情况</w:t>
      </w:r>
    </w:p>
    <w:tbl>
      <w:tblPr>
        <w:tblStyle w:val="3"/>
        <w:tblW w:w="8140" w:type="dxa"/>
        <w:jc w:val="center"/>
        <w:tblInd w:w="0" w:type="dxa"/>
        <w:shd w:val="clear" w:color="auto" w:fill="auto"/>
        <w:tblLayout w:type="fixed"/>
        <w:tblCellMar>
          <w:top w:w="0" w:type="dxa"/>
          <w:left w:w="108" w:type="dxa"/>
          <w:bottom w:w="0" w:type="dxa"/>
          <w:right w:w="108" w:type="dxa"/>
        </w:tblCellMar>
      </w:tblPr>
      <w:tblGrid>
        <w:gridCol w:w="3113"/>
        <w:gridCol w:w="1875"/>
        <w:gridCol w:w="6"/>
        <w:gridCol w:w="1265"/>
        <w:gridCol w:w="1881"/>
      </w:tblGrid>
      <w:tr>
        <w:tblPrEx>
          <w:shd w:val="clear" w:color="auto" w:fill="auto"/>
          <w:tblLayout w:type="fixed"/>
          <w:tblCellMar>
            <w:top w:w="0" w:type="dxa"/>
            <w:left w:w="108" w:type="dxa"/>
            <w:bottom w:w="0" w:type="dxa"/>
            <w:right w:w="108" w:type="dxa"/>
          </w:tblCellMar>
        </w:tblPrEx>
        <w:trPr>
          <w:trHeight w:val="495"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第二十条第（一）项</w:t>
            </w:r>
          </w:p>
        </w:tc>
      </w:tr>
      <w:tr>
        <w:tblPrEx>
          <w:shd w:val="clear" w:color="auto" w:fill="auto"/>
          <w:tblLayout w:type="fixed"/>
          <w:tblCellMar>
            <w:top w:w="0" w:type="dxa"/>
            <w:left w:w="108" w:type="dxa"/>
            <w:bottom w:w="0" w:type="dxa"/>
            <w:right w:w="108" w:type="dxa"/>
          </w:tblCellMar>
        </w:tblPrEx>
        <w:trPr>
          <w:trHeight w:val="882"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制作数量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公开数量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对外公开总数量</w:t>
            </w:r>
          </w:p>
        </w:tc>
      </w:tr>
      <w:tr>
        <w:tblPrEx>
          <w:shd w:val="clear" w:color="auto" w:fill="auto"/>
          <w:tblLayout w:type="fixed"/>
          <w:tblCellMar>
            <w:top w:w="0" w:type="dxa"/>
            <w:left w:w="108" w:type="dxa"/>
            <w:bottom w:w="0" w:type="dxa"/>
            <w:right w:w="108" w:type="dxa"/>
          </w:tblCellMar>
        </w:tblPrEx>
        <w:trPr>
          <w:trHeight w:val="523"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规章</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71"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480"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第二十条第（五）项</w:t>
            </w:r>
          </w:p>
        </w:tc>
      </w:tr>
      <w:tr>
        <w:tblPrEx>
          <w:shd w:val="clear" w:color="auto" w:fill="auto"/>
          <w:tblLayout w:type="fixed"/>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shd w:val="clear" w:color="auto" w:fill="auto"/>
          <w:tblLayout w:type="fixed"/>
          <w:tblCellMar>
            <w:top w:w="0" w:type="dxa"/>
            <w:left w:w="108" w:type="dxa"/>
            <w:bottom w:w="0" w:type="dxa"/>
            <w:right w:w="108" w:type="dxa"/>
          </w:tblCellMar>
        </w:tblPrEx>
        <w:trPr>
          <w:trHeight w:val="528"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行政许可</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55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其他对外管理服务事项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40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第二十条第（六）项</w:t>
            </w:r>
          </w:p>
        </w:tc>
      </w:tr>
      <w:tr>
        <w:tblPrEx>
          <w:shd w:val="clear" w:color="auto" w:fill="auto"/>
          <w:tblLayout w:type="fixed"/>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处理决定数量</w:t>
            </w:r>
          </w:p>
        </w:tc>
      </w:tr>
      <w:tr>
        <w:tblPrEx>
          <w:shd w:val="clear" w:color="auto" w:fill="auto"/>
          <w:tblLayout w:type="fixed"/>
          <w:tblCellMar>
            <w:top w:w="0" w:type="dxa"/>
            <w:left w:w="108" w:type="dxa"/>
            <w:bottom w:w="0" w:type="dxa"/>
            <w:right w:w="108" w:type="dxa"/>
          </w:tblCellMar>
        </w:tblPrEx>
        <w:trPr>
          <w:trHeight w:val="43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行政处罚</w:t>
            </w:r>
          </w:p>
        </w:tc>
        <w:tc>
          <w:tcPr>
            <w:tcW w:w="1881" w:type="dxa"/>
            <w:gridSpan w:val="2"/>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40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行政强制</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12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188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474"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第二十条第（八）项</w:t>
            </w:r>
          </w:p>
        </w:tc>
      </w:tr>
      <w:tr>
        <w:tblPrEx>
          <w:shd w:val="clear" w:color="auto" w:fill="auto"/>
          <w:tblLayout w:type="fixed"/>
          <w:tblCellMar>
            <w:top w:w="0" w:type="dxa"/>
            <w:left w:w="108" w:type="dxa"/>
            <w:bottom w:w="0" w:type="dxa"/>
            <w:right w:w="108" w:type="dxa"/>
          </w:tblCellMar>
        </w:tblPrEx>
        <w:trPr>
          <w:trHeight w:val="270"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上一年项目数量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本年增/减</w:t>
            </w:r>
          </w:p>
        </w:tc>
      </w:tr>
      <w:tr>
        <w:tblPrEx>
          <w:shd w:val="clear" w:color="auto" w:fill="auto"/>
          <w:tblLayout w:type="fixed"/>
          <w:tblCellMar>
            <w:top w:w="0" w:type="dxa"/>
            <w:left w:w="108" w:type="dxa"/>
            <w:bottom w:w="0" w:type="dxa"/>
            <w:right w:w="108" w:type="dxa"/>
          </w:tblCellMar>
        </w:tblPrEx>
        <w:trPr>
          <w:trHeight w:val="551"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行政事业性收费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r>
      <w:tr>
        <w:tblPrEx>
          <w:shd w:val="clear" w:color="auto" w:fill="auto"/>
          <w:tblLayout w:type="fixed"/>
          <w:tblCellMar>
            <w:top w:w="0" w:type="dxa"/>
            <w:left w:w="108" w:type="dxa"/>
            <w:bottom w:w="0" w:type="dxa"/>
            <w:right w:w="108" w:type="dxa"/>
          </w:tblCellMar>
        </w:tblPrEx>
        <w:trPr>
          <w:trHeight w:val="476" w:hRule="atLeast"/>
          <w:jc w:val="center"/>
        </w:trPr>
        <w:tc>
          <w:tcPr>
            <w:tcW w:w="8140"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第二十条第（九）项</w:t>
            </w:r>
          </w:p>
        </w:tc>
      </w:tr>
      <w:tr>
        <w:tblPrEx>
          <w:shd w:val="clear" w:color="auto" w:fill="auto"/>
          <w:tblLayout w:type="fixed"/>
          <w:tblCellMar>
            <w:top w:w="0" w:type="dxa"/>
            <w:left w:w="108" w:type="dxa"/>
            <w:bottom w:w="0" w:type="dxa"/>
            <w:right w:w="108" w:type="dxa"/>
          </w:tblCellMar>
        </w:tblPrEx>
        <w:trPr>
          <w:trHeight w:val="585"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信息内容</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采购项目数量</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采购总金额</w:t>
            </w:r>
          </w:p>
        </w:tc>
      </w:tr>
      <w:tr>
        <w:tblPrEx>
          <w:shd w:val="clear" w:color="auto" w:fill="auto"/>
          <w:tblLayout w:type="fixed"/>
          <w:tblCellMar>
            <w:top w:w="0" w:type="dxa"/>
            <w:left w:w="108" w:type="dxa"/>
            <w:bottom w:w="0" w:type="dxa"/>
            <w:right w:w="108" w:type="dxa"/>
          </w:tblCellMar>
        </w:tblPrEx>
        <w:trPr>
          <w:trHeight w:val="539" w:hRule="atLeast"/>
          <w:jc w:val="center"/>
        </w:trPr>
        <w:tc>
          <w:tcPr>
            <w:tcW w:w="3113"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政府集中采购</w:t>
            </w:r>
          </w:p>
        </w:tc>
        <w:tc>
          <w:tcPr>
            <w:tcW w:w="188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3146" w:type="dxa"/>
            <w:gridSpan w:val="2"/>
            <w:tcBorders>
              <w:top w:val="single" w:color="auto" w:sz="4" w:space="0"/>
              <w:left w:val="nil"/>
              <w:bottom w:val="single" w:color="auto" w:sz="4" w:space="0"/>
              <w:right w:val="single" w:color="000000" w:sz="4" w:space="0"/>
            </w:tcBorders>
            <w:shd w:val="clear" w:color="auto" w:fill="auto"/>
            <w:noWrap/>
            <w:vAlign w:val="center"/>
          </w:tcPr>
          <w:p>
            <w:pPr>
              <w:jc w:val="center"/>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ind w:firstLine="640" w:firstLineChars="200"/>
        <w:jc w:val="left"/>
        <w:rPr>
          <w:rFonts w:hint="eastAsia" w:ascii="黑体" w:hAnsi="黑体" w:eastAsia="黑体" w:cs="黑体"/>
          <w:i w:val="0"/>
          <w:caps w:val="0"/>
          <w:color w:val="3D3D3D"/>
          <w:spacing w:val="0"/>
          <w:sz w:val="32"/>
          <w:szCs w:val="32"/>
          <w:shd w:val="clear" w:fill="FFFFFF"/>
          <w:lang w:eastAsia="zh-CN"/>
        </w:rPr>
      </w:pPr>
      <w:r>
        <w:rPr>
          <w:rFonts w:hint="eastAsia" w:ascii="黑体" w:hAnsi="黑体" w:eastAsia="黑体" w:cs="黑体"/>
          <w:i w:val="0"/>
          <w:caps w:val="0"/>
          <w:color w:val="3D3D3D"/>
          <w:spacing w:val="0"/>
          <w:sz w:val="32"/>
          <w:szCs w:val="32"/>
          <w:shd w:val="clear" w:fill="FFFFFF"/>
          <w:lang w:eastAsia="zh-CN"/>
        </w:rPr>
        <w:t>三、收到和处理政府信息公开申请情况</w:t>
      </w:r>
    </w:p>
    <w:tbl>
      <w:tblPr>
        <w:tblStyle w:val="3"/>
        <w:tblW w:w="84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92"/>
        <w:gridCol w:w="710"/>
        <w:gridCol w:w="2034"/>
        <w:gridCol w:w="787"/>
        <w:gridCol w:w="730"/>
        <w:gridCol w:w="730"/>
        <w:gridCol w:w="787"/>
        <w:gridCol w:w="945"/>
        <w:gridCol w:w="688"/>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313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（本列数据的勾稽关系为：第一项加第二项之和，等于第三项加第四项之和）</w:t>
            </w:r>
          </w:p>
        </w:tc>
        <w:tc>
          <w:tcPr>
            <w:tcW w:w="5338"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自然人</w:t>
            </w:r>
          </w:p>
        </w:tc>
        <w:tc>
          <w:tcPr>
            <w:tcW w:w="388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法人或其他组织</w:t>
            </w:r>
          </w:p>
        </w:tc>
        <w:tc>
          <w:tcPr>
            <w:tcW w:w="671"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13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87"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商业企业</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科研机构</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社会公益组织</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法律服务机构</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w:t>
            </w:r>
          </w:p>
        </w:tc>
        <w:tc>
          <w:tcPr>
            <w:tcW w:w="671" w:type="dxa"/>
            <w:vMerge w:val="continue"/>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一、本年新收政府信息公开申请数量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二、上年结转政府信息公开申请数量</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9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三、本年度办理结果</w:t>
            </w: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（一）予以公开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（二）部分公开（区分处理的，只计这一情形，不计其他情形）</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（三）不予公开</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1.属于国家秘密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2.其他法律行政法规禁止公开</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3.危及“三安全一稳定”</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4.保护第三方合法权益</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5.属于三类内部事务信息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6.属于四类过程性信息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7.属于行政执法案卷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8.属于行政查询事项</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（四）无法提供</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1.本机关不掌握相关政府信息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2.没有现成信息需要另行制作</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3.补正后申请内容仍不明确</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（五）不予处理</w:t>
            </w: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1.信访举报投诉类申请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2.重复申请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3.要求提供公开出版物</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623"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4.无正当理由大量反复申请</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930"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710" w:type="dxa"/>
            <w:vMerge w:val="continue"/>
            <w:tcBorders>
              <w:top w:val="nil"/>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0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5.要求行政机关确认或重新出具已获取信息</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（六）其他处理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17" w:hRule="atLeast"/>
          <w:jc w:val="center"/>
        </w:trPr>
        <w:tc>
          <w:tcPr>
            <w:tcW w:w="392" w:type="dxa"/>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274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楷体" w:hAnsi="楷体" w:eastAsia="楷体" w:cs="楷体"/>
                <w:color w:val="333333"/>
                <w:kern w:val="2"/>
                <w:sz w:val="20"/>
                <w:szCs w:val="20"/>
                <w:lang w:val="en-US" w:eastAsia="zh-CN" w:bidi="ar"/>
              </w:rPr>
              <w:t>（七）总计</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0</w:t>
            </w: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r>
              <w:rPr>
                <w:rFonts w:hint="eastAsia" w:ascii="Calibri" w:hAnsi="Calibri" w:eastAsia="宋体" w:cs="Times New Roman"/>
                <w:color w:val="333333"/>
                <w:kern w:val="2"/>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327" w:hRule="atLeast"/>
          <w:jc w:val="center"/>
        </w:trPr>
        <w:tc>
          <w:tcPr>
            <w:tcW w:w="31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left"/>
            </w:pPr>
            <w:r>
              <w:rPr>
                <w:rFonts w:hint="eastAsia" w:ascii="Calibri" w:hAnsi="Calibri" w:eastAsia="宋体" w:cs="Times New Roman"/>
                <w:color w:val="333333"/>
                <w:kern w:val="2"/>
                <w:sz w:val="20"/>
                <w:szCs w:val="20"/>
                <w:lang w:val="en-US" w:eastAsia="zh-CN" w:bidi="ar"/>
              </w:rPr>
              <w:t>四、结转下年度继续办理</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73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default" w:ascii="Calibri" w:hAnsi="Calibri" w:eastAsia="宋体" w:cs="Times New Roman"/>
                <w:color w:val="333333"/>
                <w:kern w:val="2"/>
                <w:sz w:val="20"/>
                <w:szCs w:val="20"/>
                <w:lang w:val="en-US" w:eastAsia="zh-CN" w:bidi="ar"/>
              </w:rPr>
              <w:t> </w:t>
            </w:r>
          </w:p>
        </w:tc>
        <w:tc>
          <w:tcPr>
            <w:tcW w:w="78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94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8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default" w:ascii="Calibri" w:hAnsi="Calibri" w:eastAsia="宋体" w:cs="Times New Roman"/>
                <w:color w:val="333333"/>
                <w:kern w:val="2"/>
                <w:sz w:val="20"/>
                <w:szCs w:val="20"/>
                <w:lang w:val="en-US" w:eastAsia="zh-CN" w:bidi="ar"/>
              </w:rPr>
              <w:t> </w:t>
            </w:r>
          </w:p>
        </w:tc>
        <w:tc>
          <w:tcPr>
            <w:tcW w:w="671" w:type="dxa"/>
            <w:tcBorders>
              <w:top w:val="single" w:color="auto" w:sz="4" w:space="0"/>
              <w:left w:val="nil"/>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r>
    </w:tbl>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widowControl/>
        <w:suppressLineNumbers w:val="0"/>
        <w:spacing w:before="0" w:beforeAutospacing="0" w:after="0" w:afterAutospacing="0" w:line="432" w:lineRule="auto"/>
        <w:ind w:left="0" w:firstLine="42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四、政府信息公开行政复议、行政诉讼情况</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tbl>
      <w:tblPr>
        <w:tblStyle w:val="3"/>
        <w:tblW w:w="90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行政复议</w:t>
            </w:r>
          </w:p>
        </w:tc>
        <w:tc>
          <w:tcPr>
            <w:tcW w:w="5997"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4" w:type="dxa"/>
            <w:vMerge w:val="restart"/>
            <w:tcBorders>
              <w:top w:val="nil"/>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58" w:type="dxa"/>
            <w:vMerge w:val="restart"/>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总计</w:t>
            </w:r>
          </w:p>
        </w:tc>
        <w:tc>
          <w:tcPr>
            <w:tcW w:w="2970"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未经复议直接起诉</w:t>
            </w:r>
          </w:p>
        </w:tc>
        <w:tc>
          <w:tcPr>
            <w:tcW w:w="302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658" w:type="dxa"/>
            <w:vMerge w:val="continue"/>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rPr>
            </w:pP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其他结果</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Calibri" w:hAnsi="Calibri" w:eastAsia="宋体" w:cs="Times New Roman"/>
                <w:color w:val="333333"/>
                <w:kern w:val="2"/>
                <w:sz w:val="20"/>
                <w:szCs w:val="20"/>
                <w:lang w:val="en-US" w:eastAsia="zh-CN" w:bidi="ar"/>
              </w:rPr>
              <w:t>尚未审结</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lang w:val="en-US"/>
              </w:rPr>
            </w:pPr>
            <w:r>
              <w:rPr>
                <w:rFonts w:hint="eastAsia" w:ascii="Calibri" w:hAnsi="Calibri" w:eastAsia="宋体" w:cs="Times New Roman"/>
                <w:color w:val="333333"/>
                <w:kern w:val="2"/>
                <w:sz w:val="20"/>
                <w:szCs w:val="20"/>
                <w:lang w:val="en-US" w:eastAsia="zh-CN" w:bidi="ar"/>
              </w:rPr>
              <w:t>0</w:t>
            </w:r>
          </w:p>
        </w:tc>
        <w:tc>
          <w:tcPr>
            <w:tcW w:w="5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default"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Autospacing="1" w:line="30" w:lineRule="atLeast"/>
              <w:ind w:left="0" w:right="0"/>
              <w:jc w:val="center"/>
              <w:rPr>
                <w:rFonts w:hint="eastAsia" w:eastAsiaTheme="minorEastAsia"/>
                <w:lang w:val="en-US" w:eastAsia="zh-CN"/>
              </w:rPr>
            </w:pPr>
            <w:r>
              <w:rPr>
                <w:rFonts w:hint="eastAsia"/>
                <w:lang w:val="en-US" w:eastAsia="zh-CN"/>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spacing w:before="0" w:beforeAutospacing="0" w:after="0" w:afterAutospacing="0"/>
        <w:ind w:left="0" w:right="0"/>
        <w:jc w:val="left"/>
      </w:pPr>
    </w:p>
    <w:p>
      <w:pPr>
        <w:pStyle w:val="2"/>
        <w:keepNext w:val="0"/>
        <w:keepLines w:val="0"/>
        <w:widowControl/>
        <w:numPr>
          <w:ilvl w:val="0"/>
          <w:numId w:val="2"/>
        </w:numPr>
        <w:suppressLineNumbers w:val="0"/>
        <w:spacing w:before="0" w:beforeAutospacing="0" w:after="0" w:afterAutospacing="0" w:line="432" w:lineRule="auto"/>
        <w:ind w:firstLine="640" w:firstLineChars="200"/>
        <w:jc w:val="both"/>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存在的主要问题及改进情况</w:t>
      </w:r>
    </w:p>
    <w:p>
      <w:pPr>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（一）有的部门政务公开工作的实效性不够强，流于形式，公开的内容不全面、不够及时，个别站所对动态性的内容没有及时更新。</w:t>
      </w:r>
    </w:p>
    <w:p>
      <w:pPr>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（二）部分村级政务服务中心网络仍旧不通，导致政务公开工作无法正常开展。</w:t>
      </w:r>
    </w:p>
    <w:p>
      <w:pPr>
        <w:ind w:firstLine="640" w:firstLineChars="200"/>
        <w:rPr>
          <w:rFonts w:hint="eastAsia" w:ascii="仿宋" w:hAnsi="仿宋" w:eastAsia="仿宋" w:cs="仿宋"/>
          <w:color w:val="333333"/>
          <w:sz w:val="32"/>
          <w:szCs w:val="32"/>
          <w:lang w:eastAsia="zh-CN"/>
        </w:rPr>
      </w:pPr>
      <w:r>
        <w:rPr>
          <w:rFonts w:hint="eastAsia" w:ascii="仿宋" w:hAnsi="仿宋" w:eastAsia="仿宋" w:cs="仿宋"/>
          <w:color w:val="333333"/>
          <w:sz w:val="32"/>
          <w:szCs w:val="32"/>
          <w:lang w:eastAsia="zh-CN"/>
        </w:rPr>
        <w:t>接下来，我镇会在认真总结已开展政务公开工作的基础上，着重在巩固提高上下功夫，不断丰富信息内容，深化政务公开和政务服务工作成果，进一步探索政务公开新渠道，严格落实主动公开信息，完善公开内容，主动公开事关群众利益的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30"/>
        <w:rPr>
          <w:rFonts w:hint="eastAsia" w:ascii="黑体" w:hAnsi="黑体" w:eastAsia="黑体" w:cs="黑体"/>
          <w:i w:val="0"/>
          <w:caps w:val="0"/>
          <w:color w:val="3D3D3D"/>
          <w:spacing w:val="0"/>
          <w:kern w:val="2"/>
          <w:sz w:val="32"/>
          <w:szCs w:val="32"/>
          <w:shd w:val="clear" w:fill="FFFFFF"/>
          <w:lang w:val="en-US" w:eastAsia="zh-CN" w:bidi="ar-SA"/>
        </w:rPr>
      </w:pPr>
      <w:r>
        <w:rPr>
          <w:rFonts w:hint="eastAsia" w:ascii="黑体" w:hAnsi="黑体" w:eastAsia="黑体" w:cs="黑体"/>
          <w:i w:val="0"/>
          <w:caps w:val="0"/>
          <w:color w:val="3D3D3D"/>
          <w:spacing w:val="0"/>
          <w:kern w:val="2"/>
          <w:sz w:val="32"/>
          <w:szCs w:val="32"/>
          <w:shd w:val="clear" w:fill="FFFFFF"/>
          <w:lang w:val="en-US" w:eastAsia="zh-CN" w:bidi="ar-SA"/>
        </w:rPr>
        <w:t>六、其他需要报告的事项</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color w:val="333333"/>
          <w:sz w:val="32"/>
          <w:szCs w:val="32"/>
          <w:lang w:eastAsia="zh-CN"/>
        </w:rPr>
        <w:t>无</w:t>
      </w:r>
      <w:r>
        <w:rPr>
          <w:rFonts w:hint="eastAsia" w:ascii="仿宋" w:hAnsi="仿宋" w:eastAsia="仿宋" w:cs="仿宋"/>
          <w:color w:val="333333"/>
          <w:sz w:val="32"/>
          <w:szCs w:val="32"/>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 w:lineRule="atLeast"/>
        <w:ind w:left="0" w:right="0" w:firstLine="640" w:firstLineChars="200"/>
        <w:jc w:val="left"/>
        <w:rPr>
          <w:rFonts w:hint="default" w:ascii="仿宋_GB2312" w:eastAsia="仿宋_GB2312" w:cs="仿宋_GB2312" w:hAnsiTheme="minorHAnsi"/>
          <w:i w:val="0"/>
          <w:caps w:val="0"/>
          <w:color w:val="555555"/>
          <w:spacing w:val="0"/>
          <w:kern w:val="0"/>
          <w:sz w:val="32"/>
          <w:szCs w:val="32"/>
          <w:shd w:val="clear" w:fill="FFFFFF"/>
          <w:lang w:val="en-US" w:eastAsia="zh-CN" w:bidi="ar"/>
        </w:rPr>
      </w:pPr>
    </w:p>
    <w:p>
      <w:pPr>
        <w:ind w:firstLine="640" w:firstLineChars="200"/>
        <w:rPr>
          <w:rFonts w:hint="eastAsia" w:ascii="仿宋" w:eastAsia="仿宋"/>
          <w:sz w:val="32"/>
          <w:szCs w:val="32"/>
        </w:rPr>
      </w:pPr>
      <w:r>
        <w:rPr>
          <w:rFonts w:hint="default" w:ascii="仿宋_GB2312" w:eastAsia="仿宋_GB2312" w:cs="仿宋_GB2312" w:hAnsiTheme="minorHAnsi"/>
          <w:i w:val="0"/>
          <w:caps w:val="0"/>
          <w:color w:val="555555"/>
          <w:spacing w:val="0"/>
          <w:kern w:val="0"/>
          <w:sz w:val="32"/>
          <w:szCs w:val="32"/>
          <w:shd w:val="clear" w:fill="FFFFFF"/>
          <w:lang w:val="en-US" w:eastAsia="zh-CN" w:bidi="ar"/>
        </w:rPr>
        <w:t> </w:t>
      </w:r>
    </w:p>
    <w:p>
      <w:pPr>
        <w:jc w:val="left"/>
        <w:rPr>
          <w:rFonts w:hint="eastAsia" w:ascii="仿宋" w:eastAsia="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4A29BD"/>
    <w:multiLevelType w:val="singleLevel"/>
    <w:tmpl w:val="EB4A29BD"/>
    <w:lvl w:ilvl="0" w:tentative="0">
      <w:start w:val="5"/>
      <w:numFmt w:val="chineseCounting"/>
      <w:suff w:val="nothing"/>
      <w:lvlText w:val="%1、"/>
      <w:lvlJc w:val="left"/>
      <w:rPr>
        <w:rFonts w:hint="eastAsia"/>
      </w:rPr>
    </w:lvl>
  </w:abstractNum>
  <w:abstractNum w:abstractNumId="1">
    <w:nsid w:val="6A7E218D"/>
    <w:multiLevelType w:val="singleLevel"/>
    <w:tmpl w:val="6A7E218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E533A"/>
    <w:rsid w:val="03137818"/>
    <w:rsid w:val="03AA2D4C"/>
    <w:rsid w:val="10BC6BBE"/>
    <w:rsid w:val="169D4515"/>
    <w:rsid w:val="16AF6EEE"/>
    <w:rsid w:val="1F1C066B"/>
    <w:rsid w:val="20DB01DD"/>
    <w:rsid w:val="23B318F8"/>
    <w:rsid w:val="25BA3E57"/>
    <w:rsid w:val="2C0A40A3"/>
    <w:rsid w:val="2FB83954"/>
    <w:rsid w:val="30143625"/>
    <w:rsid w:val="30FD5EFA"/>
    <w:rsid w:val="31A63FD1"/>
    <w:rsid w:val="39BA6E74"/>
    <w:rsid w:val="3A114E12"/>
    <w:rsid w:val="3D8B73B8"/>
    <w:rsid w:val="3FF303EA"/>
    <w:rsid w:val="4E2C3CB6"/>
    <w:rsid w:val="54FD09A2"/>
    <w:rsid w:val="6031579D"/>
    <w:rsid w:val="69534611"/>
    <w:rsid w:val="6AF025EA"/>
    <w:rsid w:val="6BD96D75"/>
    <w:rsid w:val="6FC14AC1"/>
    <w:rsid w:val="70D35305"/>
    <w:rsid w:val="70DE533A"/>
    <w:rsid w:val="72B25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2896</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2021-01-28T09:13:00Z</dcterms:created>
  <dc:creator>大大</dc:creator>
  <cp:lastModifiedBy>财政局</cp:lastModifiedBy>
  <dcterms:modified xsi:type="dcterms:W3CDTF">2021-04-21T06:31:03Z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