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i w:val="0"/>
          <w:caps w:val="0"/>
          <w:color w:val="3D3D3D"/>
          <w:spacing w:val="0"/>
          <w:sz w:val="44"/>
          <w:szCs w:val="44"/>
          <w:shd w:val="clear" w:fill="FFFFFF"/>
        </w:rPr>
      </w:pPr>
      <w:r>
        <w:rPr>
          <w:rFonts w:hint="eastAsia" w:ascii="黑体" w:hAnsi="黑体" w:eastAsia="黑体" w:cs="黑体"/>
          <w:b/>
          <w:i w:val="0"/>
          <w:caps w:val="0"/>
          <w:color w:val="3D3D3D"/>
          <w:spacing w:val="0"/>
          <w:sz w:val="44"/>
          <w:szCs w:val="44"/>
          <w:shd w:val="clear" w:fill="FFFFFF"/>
          <w:lang w:eastAsia="zh-CN"/>
        </w:rPr>
        <w:t>呼兰区腰堡街道办事处2</w:t>
      </w:r>
      <w:r>
        <w:rPr>
          <w:rFonts w:hint="eastAsia" w:ascii="黑体" w:hAnsi="黑体" w:eastAsia="黑体" w:cs="黑体"/>
          <w:b/>
          <w:i w:val="0"/>
          <w:caps w:val="0"/>
          <w:color w:val="3D3D3D"/>
          <w:spacing w:val="0"/>
          <w:sz w:val="44"/>
          <w:szCs w:val="44"/>
          <w:shd w:val="clear" w:fill="FFFFFF"/>
        </w:rPr>
        <w:t>020年政府信息公开工作年度报告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0" w:firstLineChars="200"/>
        <w:rPr>
          <w:rFonts w:hint="eastAsia" w:ascii="仿宋" w:hAnsi="仿宋" w:eastAsia="仿宋" w:cs="仿宋"/>
          <w:i w:val="0"/>
          <w:caps w:val="0"/>
          <w:color w:val="3D3D3D"/>
          <w:spacing w:val="0"/>
          <w:sz w:val="32"/>
          <w:szCs w:val="32"/>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街道办事处</w:t>
      </w:r>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呼兰区腰堡街道办事处，联系电话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57391010</w:t>
      </w:r>
      <w:r>
        <w:rPr>
          <w:rFonts w:hint="eastAsia" w:ascii="仿宋" w:hAnsi="仿宋" w:eastAsia="仿宋" w:cs="仿宋"/>
          <w:i w:val="0"/>
          <w:caps w:val="0"/>
          <w:color w:val="555555"/>
          <w:spacing w:val="0"/>
          <w:sz w:val="32"/>
          <w:szCs w:val="32"/>
          <w:shd w:val="clear" w:fill="FFFFFF"/>
        </w:rPr>
        <w:t>。</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jc w:val="both"/>
        <w:rPr>
          <w:rFonts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000000"/>
          <w:spacing w:val="0"/>
          <w:sz w:val="31"/>
          <w:szCs w:val="31"/>
          <w:bdr w:val="none" w:color="auto" w:sz="0" w:space="0"/>
          <w:shd w:val="clear" w:fill="FFFFFF"/>
        </w:rPr>
        <w:t>（一）主动公开情况。主要依托区政府网站、新闻媒体及其他便民渠道公开，发布各类政务信息。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（二）依申请公开情况。2021年</w:t>
      </w:r>
      <w:r>
        <w:rPr>
          <w:rFonts w:hint="eastAsia" w:ascii="仿宋_GB2312" w:hAnsi="微软雅黑" w:eastAsia="仿宋_GB2312" w:cs="仿宋_GB2312"/>
          <w:i w:val="0"/>
          <w:caps w:val="0"/>
          <w:color w:val="000000"/>
          <w:spacing w:val="0"/>
          <w:sz w:val="31"/>
          <w:szCs w:val="31"/>
          <w:bdr w:val="none" w:color="auto" w:sz="0" w:space="0"/>
          <w:shd w:val="clear" w:fill="FFFFFF"/>
          <w:lang w:val="en-US" w:eastAsia="zh-CN"/>
        </w:rPr>
        <w:t>未接收</w:t>
      </w:r>
      <w:r>
        <w:rPr>
          <w:rFonts w:hint="default" w:ascii="仿宋_GB2312" w:hAnsi="微软雅黑" w:eastAsia="仿宋_GB2312" w:cs="仿宋_GB2312"/>
          <w:i w:val="0"/>
          <w:caps w:val="0"/>
          <w:color w:val="000000"/>
          <w:spacing w:val="0"/>
          <w:sz w:val="31"/>
          <w:szCs w:val="31"/>
          <w:bdr w:val="none" w:color="auto" w:sz="0" w:space="0"/>
          <w:shd w:val="clear" w:fill="FFFFFF"/>
        </w:rPr>
        <w:t>群众申请政府信息公开。目前没有发现应主动公开政府信息而未予公开的情况。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三）政府信息管理。建立健全政府信息公开工作机制，落实专人做好政府信息公开各项工作，严格执行政府信息公开的法律法规，建立健全政府信息公开申请受理答复各环节制度规范，对所公开事项内容进行审核、把关，确保公开内容的合法性、准确性、严肃性，确保公开的范围、形式、时限、程序等符合《中华人民共和国政府信息公开条例》的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（四）平台建设。政府信息公开平台主要依托区政府门户网站进行全文电子化公开，</w:t>
      </w:r>
      <w:r>
        <w:rPr>
          <w:rFonts w:hint="eastAsia" w:ascii="仿宋_GB2312" w:hAnsi="微软雅黑" w:eastAsia="仿宋_GB2312" w:cs="仿宋_GB2312"/>
          <w:i w:val="0"/>
          <w:caps w:val="0"/>
          <w:color w:val="000000"/>
          <w:spacing w:val="0"/>
          <w:sz w:val="31"/>
          <w:szCs w:val="31"/>
          <w:bdr w:val="none" w:color="auto" w:sz="0" w:space="0"/>
          <w:shd w:val="clear" w:fill="FFFFFF"/>
          <w:lang w:val="en-US" w:eastAsia="zh-CN"/>
        </w:rPr>
        <w:t>形成</w:t>
      </w:r>
      <w:r>
        <w:rPr>
          <w:rFonts w:hint="default" w:ascii="仿宋_GB2312" w:hAnsi="微软雅黑" w:eastAsia="仿宋_GB2312" w:cs="仿宋_GB2312"/>
          <w:i w:val="0"/>
          <w:caps w:val="0"/>
          <w:color w:val="000000"/>
          <w:spacing w:val="0"/>
          <w:sz w:val="31"/>
          <w:szCs w:val="31"/>
          <w:bdr w:val="none" w:color="auto" w:sz="0" w:space="0"/>
          <w:shd w:val="clear" w:fill="FFFFFF"/>
        </w:rPr>
        <w:t>全</w:t>
      </w:r>
      <w:r>
        <w:rPr>
          <w:rFonts w:hint="eastAsia" w:ascii="仿宋_GB2312" w:hAnsi="微软雅黑" w:eastAsia="仿宋_GB2312" w:cs="仿宋_GB2312"/>
          <w:i w:val="0"/>
          <w:caps w:val="0"/>
          <w:color w:val="000000"/>
          <w:spacing w:val="0"/>
          <w:sz w:val="31"/>
          <w:szCs w:val="31"/>
          <w:bdr w:val="none" w:color="auto" w:sz="0" w:space="0"/>
          <w:shd w:val="clear" w:fill="FFFFFF"/>
          <w:lang w:val="en-US" w:eastAsia="zh-CN"/>
        </w:rPr>
        <w:t>街道办事处</w:t>
      </w:r>
      <w:r>
        <w:rPr>
          <w:rFonts w:hint="default" w:ascii="仿宋_GB2312" w:hAnsi="微软雅黑" w:eastAsia="仿宋_GB2312" w:cs="仿宋_GB2312"/>
          <w:i w:val="0"/>
          <w:caps w:val="0"/>
          <w:color w:val="000000"/>
          <w:spacing w:val="0"/>
          <w:sz w:val="31"/>
          <w:szCs w:val="31"/>
          <w:bdr w:val="none" w:color="auto" w:sz="0" w:space="0"/>
          <w:shd w:val="clear" w:fill="FFFFFF"/>
        </w:rPr>
        <w:t>各办公室、中心（站所），各村（社区）积极配合，构建“一级抓一级、层层抓落实”的工作格局。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645"/>
        <w:jc w:val="both"/>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000000"/>
          <w:spacing w:val="0"/>
          <w:sz w:val="31"/>
          <w:szCs w:val="31"/>
          <w:bdr w:val="none" w:color="auto" w:sz="0" w:space="0"/>
          <w:shd w:val="clear" w:fill="FFFFFF"/>
        </w:rPr>
        <w:t>（五）监督保障。贯彻落实政府信息公开条例，加强对新条例的宣传解读，准确把握新条例各项规定，提高政务公开工作制度化标准化水平，提高公开工作的时效性，确保信息公开工作深入推进。</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五、存在的主要问题及改进情况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虽然政府信息公开工作取得一定成效，但同时也存在一些问题，主要表现在：从事信息公开工作人员变动大，专业知识薄弱，难以形成长效工作机制；信息公开内容的规范性有待提高；信息公开宣传不够，在宣传的形式、范围、力度等方面都有待进一步加强。</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今后，街道将积极探索并实行各种方便群众查阅、了解信息的公开方式，并及时提供，定期维护，确保政府信息公开工作能按照既定的工作流程有效运作；逐步扩大公开内容，对原有的政府信息公开目录进行补充完善，保证公开信息的完整性和准确性；加强培训和宣传，进一步领会和贯彻落实《中华人民共和国政府信息公开条例》，不断提高政府信息公开工作的质量和水平。</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一）继续加强领导，完善工作制度。政府信息公开是一项长期的制度，要实行“谁主管谁负责”的原则，切实把政府信息公开工作落到实处。在推进政府信息公开制度的过程中，要做到完善工作制度，提高工作效率，方便群众办事，提高依法行政水平，严格依法管理，强化对行政权利运行的监督。</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二）继续强化创新，拓宽公开渠道。网上政府信息公开是一项全新的工作内容和要求，为保证公开信息的及时性、准确性和全面性，开创信息工作新局面，一方面要规范信息公开内容、格式，另一方面必须要不断强化渠道的创新，深入到居民群众中，拓展公开渠道，深化公开途径。</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三）继续加大力度，拓展公开范围。要以完善公共服务、提高政府的信息透明度为重点，积极稳妥地推进财政预算信息公开、加大财政专项资金的公开力度、进一步增强政府采购透明度、公开捐助款物的募集、分配和使用情况、进一步加大审计公开力度，不断深化拓展信息公开范围。</w:t>
      </w:r>
    </w:p>
    <w:p>
      <w:pPr>
        <w:pStyle w:val="2"/>
        <w:keepNext w:val="0"/>
        <w:keepLines w:val="0"/>
        <w:widowControl/>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AA2D4C"/>
    <w:rsid w:val="1F1C066B"/>
    <w:rsid w:val="213559B2"/>
    <w:rsid w:val="25BA3E57"/>
    <w:rsid w:val="26AD2EF9"/>
    <w:rsid w:val="2C0A40A3"/>
    <w:rsid w:val="31A63FD1"/>
    <w:rsid w:val="39BA6E74"/>
    <w:rsid w:val="3D8B73B8"/>
    <w:rsid w:val="6031579D"/>
    <w:rsid w:val="6AF025EA"/>
    <w:rsid w:val="6BD96D75"/>
    <w:rsid w:val="70D35305"/>
    <w:rsid w:val="70DE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2727</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Administrator</cp:lastModifiedBy>
  <dcterms:modified xsi:type="dcterms:W3CDTF">2022-02-16T14:25:51Z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