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40" w:hanging="2640" w:hangingChars="600"/>
        <w:rPr>
          <w:rFonts w:hint="eastAsia" w:ascii="黑体" w:hAnsi="黑体" w:eastAsia="黑体" w:cs="黑体"/>
          <w:sz w:val="44"/>
          <w:szCs w:val="44"/>
        </w:rPr>
      </w:pPr>
      <w:bookmarkStart w:id="0" w:name="_GoBack"/>
      <w:r>
        <w:rPr>
          <w:rFonts w:hint="eastAsia" w:ascii="黑体" w:hAnsi="黑体" w:eastAsia="黑体" w:cs="黑体"/>
          <w:sz w:val="44"/>
          <w:szCs w:val="44"/>
        </w:rPr>
        <w:t>呼兰区兰河街道</w:t>
      </w:r>
      <w:r>
        <w:rPr>
          <w:rFonts w:hint="eastAsia" w:ascii="黑体" w:hAnsi="黑体" w:eastAsia="黑体" w:cs="黑体"/>
          <w:sz w:val="44"/>
          <w:szCs w:val="44"/>
          <w:lang w:val="en-US" w:eastAsia="zh-CN"/>
        </w:rPr>
        <w:t>办事处</w:t>
      </w:r>
      <w:r>
        <w:rPr>
          <w:rFonts w:hint="eastAsia" w:ascii="黑体" w:hAnsi="黑体" w:eastAsia="黑体" w:cs="黑体"/>
          <w:sz w:val="44"/>
          <w:szCs w:val="44"/>
        </w:rPr>
        <w:t>2021年政府信息公开工作年度报告</w:t>
      </w:r>
    </w:p>
    <w:bookmarkEnd w:id="0"/>
    <w:p>
      <w:pPr>
        <w:pStyle w:val="2"/>
        <w:widowControl/>
        <w:shd w:val="clear" w:color="auto" w:fill="FFFFFF"/>
        <w:spacing w:before="0" w:beforeAutospacing="0" w:after="225"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本年度报告根据《中华人民共和国政府信息公开条例》（以下简称《条例》）规定和《国务院办公厅政府信息和政务公开办公室关于印发&lt;中华人民共和国政府信息公开工作年度报告格式&gt;的通知》（国办公开办函﹝2021﹞30号）（以下简称《通知》）要求，在总结我街道2021年政府信息公开工作的基础上，编制此报告。报告中所列数据统计期限自2021年1月1日起至2021年12月31日止。本报告通过“呼兰区人民政府网站”（http://www.hulan.gov.cn/）查阅向社会公布。若对本报告有任何疑问或意见建议，请联系呼兰区兰河街道办事处，联系电话0451-57375866。</w:t>
      </w:r>
    </w:p>
    <w:p>
      <w:pPr>
        <w:pStyle w:val="2"/>
        <w:widowControl/>
        <w:shd w:val="clear" w:color="auto" w:fill="FFFFFF"/>
        <w:spacing w:before="0" w:beforeAutospacing="0" w:after="0" w:afterAutospacing="0"/>
        <w:ind w:firstLine="420"/>
        <w:rPr>
          <w:rFonts w:hint="eastAsia" w:ascii="黑体" w:hAnsi="黑体" w:eastAsia="黑体" w:cs="黑体"/>
          <w:color w:val="333333"/>
          <w:sz w:val="30"/>
          <w:szCs w:val="30"/>
          <w:shd w:val="clear" w:color="auto" w:fill="FFFFFF"/>
        </w:rPr>
      </w:pPr>
      <w:r>
        <w:rPr>
          <w:rFonts w:hint="eastAsia" w:ascii="黑体" w:hAnsi="黑体" w:eastAsia="黑体" w:cs="黑体"/>
          <w:color w:val="333333"/>
          <w:sz w:val="30"/>
          <w:szCs w:val="30"/>
          <w:shd w:val="clear" w:color="auto" w:fill="FFFFFF"/>
        </w:rPr>
        <w:t>一、总体情况</w:t>
      </w:r>
    </w:p>
    <w:p>
      <w:pPr>
        <w:pStyle w:val="2"/>
        <w:widowControl/>
        <w:shd w:val="clear" w:color="auto" w:fill="FFFFFF"/>
        <w:spacing w:before="0" w:beforeAutospacing="0" w:after="0" w:afterAutospacing="0"/>
        <w:ind w:firstLine="960" w:firstLineChars="300"/>
        <w:rPr>
          <w:rFonts w:hint="eastAsia" w:ascii="仿宋" w:hAnsi="仿宋" w:eastAsia="仿宋" w:cs="黑体"/>
          <w:color w:val="333333"/>
          <w:sz w:val="32"/>
          <w:szCs w:val="32"/>
        </w:rPr>
      </w:pPr>
      <w:r>
        <w:rPr>
          <w:rFonts w:hint="eastAsia" w:ascii="仿宋" w:hAnsi="仿宋" w:eastAsia="仿宋" w:cs="黑体"/>
          <w:color w:val="333333"/>
          <w:sz w:val="32"/>
          <w:szCs w:val="32"/>
          <w:shd w:val="clear" w:color="auto" w:fill="FFFFFF"/>
        </w:rPr>
        <w:t>2021年兰河街道认真贯彻落实和省市和区政府关于全面推进吗政务公开工作的决策部署，深入扎实的开展政务公开工作，努力提升政务公开质效。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000000"/>
          <w:spacing w:val="0"/>
          <w:sz w:val="31"/>
          <w:szCs w:val="31"/>
          <w:bdr w:val="none" w:color="auto" w:sz="0" w:space="0"/>
          <w:shd w:val="clear" w:fill="FFFFFF"/>
        </w:rPr>
        <w:t>（一）主动公开情况。</w:t>
      </w:r>
      <w:r>
        <w:rPr>
          <w:rFonts w:hint="default" w:ascii="仿宋_GB2312" w:hAnsi="微软雅黑" w:eastAsia="仿宋_GB2312" w:cs="仿宋_GB2312"/>
          <w:i w:val="0"/>
          <w:caps w:val="0"/>
          <w:color w:val="000000"/>
          <w:spacing w:val="0"/>
          <w:sz w:val="31"/>
          <w:szCs w:val="31"/>
          <w:bdr w:val="none" w:color="auto" w:sz="0" w:space="0"/>
          <w:shd w:val="clear" w:fill="FFFFFF"/>
        </w:rPr>
        <w:t>主要通过政府网站、公示栏、LED显示屏、微信公众号等渠道公开各类政务信息。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（二）依申请公开。2021年我街道未收到群众主动要求公开政府信息的申请。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三）政府信息管理。进一步完善政府信息公开保密审查机制，规范审查程序，积极开展涉及个人隐私或敏感字样信息排查，发现问题及时反馈，及时整改。根据国务院有关部委重点领域信息公开标准指引，对主动公开目录及时进行调整，准确规范上报公布信息、总结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四）平台建设。在办事服务大厅，对各类业务办理流程、办理时限、所需材料等信息进行公示，方便群众办事；同时在传统信息公开途径的基础上，拓宽新媒体渠道，注重发展新媒体阵地，利用微信公众号、美篇等形式进一步加大宣传力度，实时掌握网络舆情监测，积极响应，为推进政府信息公开工作营造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5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五）监督保障。一是加强领导，完善政务公开机制。为深化政务公开，进一步做好政务公开各项工作，我街道专门成立了政府信息公开领导小组，在政务公开管理、建设和运行上，遵循公正、公开、便民的原则，明确主要领导亲自抓、指定专门部门负责政务公开的工作模式，对政务公开的信息进行实时监控，明确各部门分工。二是加强培训指导，提升公开能力。对照区政府文件要求，调整完善街道政府信息公开目录，通过集中培训和调研座谈等多种形式加强工作指导，推动工作人员把握新要求，适应新形势。</w:t>
      </w:r>
    </w:p>
    <w:p>
      <w:pPr>
        <w:pStyle w:val="2"/>
        <w:widowControl/>
        <w:numPr>
          <w:ilvl w:val="0"/>
          <w:numId w:val="1"/>
        </w:numPr>
        <w:shd w:val="clear" w:color="auto" w:fill="FFFFFF"/>
        <w:spacing w:before="0" w:beforeAutospacing="0" w:after="0" w:afterAutospacing="0"/>
        <w:ind w:firstLine="420"/>
        <w:jc w:val="both"/>
        <w:rPr>
          <w:rFonts w:hint="eastAsia" w:ascii="黑体" w:hAnsi="黑体" w:eastAsia="黑体" w:cs="宋体"/>
          <w:b/>
          <w:color w:val="333333"/>
          <w:sz w:val="32"/>
          <w:szCs w:val="32"/>
          <w:shd w:val="clear" w:color="auto" w:fill="FFFFFF"/>
        </w:rPr>
      </w:pPr>
      <w:r>
        <w:rPr>
          <w:rFonts w:hint="eastAsia" w:ascii="黑体" w:hAnsi="黑体" w:eastAsia="黑体" w:cs="宋体"/>
          <w:b/>
          <w:color w:val="333333"/>
          <w:sz w:val="32"/>
          <w:szCs w:val="32"/>
          <w:shd w:val="clear" w:color="auto" w:fill="FFFFFF"/>
        </w:rPr>
        <w:t>主动公开政府信息情况</w:t>
      </w:r>
    </w:p>
    <w:p>
      <w:pPr>
        <w:pStyle w:val="2"/>
        <w:widowControl/>
        <w:shd w:val="clear" w:color="auto" w:fill="FFFFFF"/>
        <w:spacing w:before="0" w:beforeAutospacing="0" w:after="0" w:afterAutospacing="0"/>
        <w:jc w:val="both"/>
        <w:rPr>
          <w:rFonts w:ascii="宋体" w:hAnsi="宋体" w:cs="宋体"/>
          <w:b/>
          <w:color w:val="333333"/>
          <w:sz w:val="32"/>
          <w:szCs w:val="32"/>
          <w:shd w:val="clear" w:color="auto" w:fill="FFFFFF"/>
        </w:rPr>
      </w:pPr>
      <w:r>
        <w:rPr>
          <w:rFonts w:hint="eastAsia" w:ascii="宋体" w:hAnsi="宋体" w:cs="宋体"/>
          <w:b/>
          <w:color w:val="333333"/>
          <w:sz w:val="32"/>
          <w:szCs w:val="32"/>
          <w:shd w:val="clear" w:color="auto" w:fill="FFFFFF"/>
        </w:rPr>
        <w:t xml:space="preserve">    </w:t>
      </w:r>
    </w:p>
    <w:p>
      <w:pPr>
        <w:pStyle w:val="2"/>
        <w:widowControl/>
        <w:shd w:val="clear" w:color="auto" w:fill="FFFFFF"/>
        <w:spacing w:before="0" w:beforeAutospacing="0" w:after="0" w:afterAutospacing="0"/>
        <w:ind w:firstLine="420"/>
        <w:jc w:val="both"/>
        <w:rPr>
          <w:rFonts w:hint="eastAsia" w:ascii="宋体" w:hAnsi="宋体" w:cs="宋体"/>
          <w:color w:val="333333"/>
        </w:rPr>
      </w:pPr>
    </w:p>
    <w:tbl>
      <w:tblPr>
        <w:tblStyle w:val="3"/>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w:t>
            </w:r>
            <w:r>
              <w:rPr>
                <w:rFonts w:hint="eastAsia" w:ascii="宋体" w:hAnsi="宋体" w:cs="宋体"/>
                <w:kern w:val="0"/>
                <w:sz w:val="20"/>
                <w:szCs w:val="20"/>
                <w:lang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rPr>
            </w:pPr>
            <w:r>
              <w:rPr>
                <w:rFonts w:hint="eastAsia"/>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Cs w:val="21"/>
                <w:lang w:bidi="ar"/>
              </w:rPr>
              <w:t>0</w:t>
            </w:r>
          </w:p>
        </w:tc>
      </w:tr>
      <w:tr>
        <w:tblPrEx>
          <w:tblLayout w:type="fixed"/>
          <w:tblCellMar>
            <w:top w:w="0" w:type="dxa"/>
            <w:left w:w="0" w:type="dxa"/>
            <w:bottom w:w="0" w:type="dxa"/>
            <w:right w:w="0" w:type="dxa"/>
          </w:tblCellMar>
        </w:tblPrEx>
        <w:trPr>
          <w:trHeight w:val="23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sz w:val="24"/>
              </w:rPr>
            </w:pPr>
            <w:r>
              <w:rPr>
                <w:rFonts w:hint="eastAsia" w:ascii="宋体"/>
                <w:sz w:val="24"/>
              </w:rPr>
              <w:t>0</w:t>
            </w:r>
          </w:p>
        </w:tc>
      </w:tr>
    </w:tbl>
    <w:p>
      <w:pPr>
        <w:widowControl/>
        <w:jc w:val="left"/>
      </w:pPr>
    </w:p>
    <w:p>
      <w:pPr>
        <w:pStyle w:val="2"/>
        <w:widowControl/>
        <w:numPr>
          <w:ilvl w:val="0"/>
          <w:numId w:val="1"/>
        </w:numPr>
        <w:shd w:val="clear" w:color="auto" w:fill="FFFFFF"/>
        <w:spacing w:before="0" w:beforeAutospacing="0" w:after="0" w:afterAutospacing="0"/>
        <w:ind w:firstLine="420"/>
        <w:jc w:val="both"/>
        <w:rPr>
          <w:rFonts w:hint="eastAsia" w:ascii="宋体" w:hAnsi="宋体" w:cs="宋体"/>
          <w:b/>
          <w:color w:val="333333"/>
          <w:shd w:val="clear" w:color="auto" w:fill="FFFFFF"/>
        </w:rPr>
      </w:pPr>
      <w:r>
        <w:rPr>
          <w:rFonts w:hint="eastAsia" w:ascii="宋体" w:hAnsi="宋体" w:cs="宋体"/>
          <w:b/>
          <w:color w:val="333333"/>
          <w:shd w:val="clear" w:color="auto" w:fill="FFFFFF"/>
        </w:rPr>
        <w:t>收到和处理政府信息公开申请情况</w:t>
      </w:r>
    </w:p>
    <w:p>
      <w:pPr>
        <w:pStyle w:val="2"/>
        <w:widowControl/>
        <w:shd w:val="clear" w:color="auto" w:fill="FFFFFF"/>
        <w:spacing w:before="0" w:beforeAutospacing="0" w:after="0" w:afterAutospacing="0"/>
        <w:ind w:firstLine="420"/>
        <w:jc w:val="both"/>
        <w:rPr>
          <w:rFonts w:hint="eastAsia" w:ascii="宋体" w:hAnsi="宋体" w:cs="宋体"/>
          <w:color w:val="333333"/>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8"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c>
          <w:tcPr>
            <w:tcW w:w="689"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rPr>
                <w:rFonts w:hint="eastAsia" w:cs="Calibri"/>
                <w:kern w:val="0"/>
                <w:sz w:val="20"/>
                <w:szCs w:val="20"/>
                <w:lang w:bidi="ar"/>
              </w:rPr>
            </w:pPr>
          </w:p>
          <w:p>
            <w:pPr>
              <w:widowControl/>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cs="Calibri"/>
                <w:kern w:val="0"/>
                <w:sz w:val="20"/>
                <w:szCs w:val="20"/>
                <w:lang w:bidi="ar"/>
              </w:rPr>
            </w:pPr>
          </w:p>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bidi="ar"/>
              </w:rPr>
              <w:t>0</w:t>
            </w:r>
            <w:r>
              <w:rPr>
                <w:rFonts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eastAsia" w:ascii="宋体"/>
                <w:sz w:val="24"/>
              </w:rPr>
            </w:pPr>
            <w:r>
              <w:rPr>
                <w:rFonts w:hint="eastAsia" w:cs="Calibri"/>
                <w:kern w:val="0"/>
                <w:sz w:val="20"/>
                <w:szCs w:val="20"/>
                <w:lang w:bidi="ar"/>
              </w:rPr>
              <w:t>0</w:t>
            </w:r>
          </w:p>
        </w:tc>
      </w:tr>
    </w:tbl>
    <w:p>
      <w:pPr>
        <w:widowControl/>
        <w:shd w:val="clear" w:color="auto" w:fill="FFFFFF"/>
        <w:jc w:val="center"/>
        <w:rPr>
          <w:rFonts w:hint="eastAsia" w:ascii="宋体" w:hAnsi="宋体" w:cs="宋体"/>
          <w:color w:val="333333"/>
          <w:sz w:val="24"/>
        </w:rPr>
      </w:pPr>
    </w:p>
    <w:p>
      <w:pPr>
        <w:pStyle w:val="2"/>
        <w:widowControl/>
        <w:numPr>
          <w:ilvl w:val="0"/>
          <w:numId w:val="1"/>
        </w:numPr>
        <w:shd w:val="clear" w:color="auto" w:fill="FFFFFF"/>
        <w:spacing w:before="0" w:beforeAutospacing="0" w:after="0" w:afterAutospacing="0"/>
        <w:ind w:firstLine="420"/>
        <w:jc w:val="both"/>
        <w:rPr>
          <w:rFonts w:ascii="黑体" w:hAnsi="黑体" w:eastAsia="黑体" w:cs="宋体"/>
          <w:color w:val="FF0000"/>
          <w:sz w:val="32"/>
          <w:szCs w:val="32"/>
          <w:shd w:val="clear" w:color="auto" w:fill="FFFFFF"/>
        </w:rPr>
      </w:pPr>
      <w:r>
        <w:rPr>
          <w:rFonts w:hint="eastAsia" w:ascii="黑体" w:hAnsi="黑体" w:eastAsia="黑体" w:cs="宋体"/>
          <w:b/>
          <w:color w:val="333333"/>
          <w:sz w:val="32"/>
          <w:szCs w:val="32"/>
          <w:shd w:val="clear" w:color="auto" w:fill="FFFFFF"/>
        </w:rPr>
        <w:t>政府信息公开行政复议、行政诉讼情况</w:t>
      </w:r>
    </w:p>
    <w:p>
      <w:pPr>
        <w:pStyle w:val="2"/>
        <w:widowControl/>
        <w:shd w:val="clear" w:color="auto" w:fill="FFFFFF"/>
        <w:spacing w:before="0" w:beforeAutospacing="0" w:after="0" w:afterAutospacing="0"/>
        <w:ind w:left="420"/>
        <w:jc w:val="both"/>
        <w:rPr>
          <w:rFonts w:hint="eastAsia" w:ascii="宋体" w:hAnsi="宋体" w:cs="宋体"/>
          <w:b/>
          <w:color w:val="333333"/>
          <w:shd w:val="clear" w:color="auto" w:fill="FFFFFF"/>
        </w:rPr>
      </w:pPr>
    </w:p>
    <w:p>
      <w:pPr>
        <w:widowControl/>
        <w:shd w:val="clear" w:color="auto" w:fill="FFFFFF"/>
        <w:jc w:val="center"/>
        <w:rPr>
          <w:rFonts w:hint="eastAsia" w:ascii="宋体" w:hAnsi="宋体" w:cs="宋体"/>
          <w:color w:val="333333"/>
          <w:sz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lang w:val="en-US" w:eastAsia="zh-CN"/>
              </w:rPr>
            </w:pPr>
            <w:r>
              <w:rPr>
                <w:rFonts w:hint="eastAsia" w:ascii="宋体"/>
                <w:sz w:val="24"/>
                <w:lang w:val="en-US" w:eastAsia="zh-CN"/>
              </w:rPr>
              <w:t>0</w:t>
            </w:r>
          </w:p>
        </w:tc>
      </w:tr>
    </w:tbl>
    <w:p>
      <w:pPr>
        <w:widowControl/>
        <w:jc w:val="left"/>
      </w:pPr>
    </w:p>
    <w:p>
      <w:pPr>
        <w:pStyle w:val="2"/>
        <w:widowControl/>
        <w:numPr>
          <w:ilvl w:val="0"/>
          <w:numId w:val="1"/>
        </w:numPr>
        <w:shd w:val="clear" w:color="auto" w:fill="FFFFFF"/>
        <w:spacing w:before="0" w:beforeAutospacing="0" w:after="0" w:afterAutospacing="0"/>
        <w:ind w:firstLine="420"/>
        <w:jc w:val="both"/>
        <w:rPr>
          <w:rFonts w:hint="eastAsia" w:ascii="黑体" w:hAnsi="黑体" w:eastAsia="黑体" w:cs="宋体"/>
          <w:b/>
          <w:color w:val="333333"/>
          <w:sz w:val="32"/>
          <w:szCs w:val="32"/>
          <w:shd w:val="clear" w:color="auto" w:fill="FFFFFF"/>
        </w:rPr>
      </w:pPr>
      <w:r>
        <w:rPr>
          <w:rFonts w:hint="eastAsia" w:ascii="黑体" w:hAnsi="黑体" w:eastAsia="黑体" w:cs="宋体"/>
          <w:b/>
          <w:color w:val="333333"/>
          <w:sz w:val="32"/>
          <w:szCs w:val="32"/>
          <w:shd w:val="clear" w:color="auto" w:fill="FFFFFF"/>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5"/>
        <w:jc w:val="both"/>
        <w:rPr>
          <w:rFonts w:ascii="微软雅黑" w:hAnsi="微软雅黑" w:eastAsia="微软雅黑" w:cs="微软雅黑"/>
          <w:i w:val="0"/>
          <w:caps w:val="0"/>
          <w:color w:val="333333"/>
          <w:spacing w:val="0"/>
          <w:sz w:val="24"/>
          <w:szCs w:val="24"/>
        </w:rPr>
      </w:pPr>
      <w:r>
        <w:rPr>
          <w:rFonts w:ascii="楷体_GB2312" w:hAnsi="微软雅黑" w:eastAsia="楷体_GB2312" w:cs="楷体_GB2312"/>
          <w:i w:val="0"/>
          <w:caps w:val="0"/>
          <w:color w:val="000000"/>
          <w:spacing w:val="0"/>
          <w:sz w:val="31"/>
          <w:szCs w:val="31"/>
          <w:bdr w:val="none" w:color="auto" w:sz="0" w:space="0"/>
          <w:shd w:val="clear" w:fill="FFFFFF"/>
        </w:rPr>
        <w:t>（一）存在的问题。</w:t>
      </w:r>
      <w:r>
        <w:rPr>
          <w:rFonts w:ascii="仿宋_GB2312" w:hAnsi="微软雅黑" w:eastAsia="仿宋_GB2312" w:cs="仿宋_GB2312"/>
          <w:i w:val="0"/>
          <w:caps w:val="0"/>
          <w:color w:val="000000"/>
          <w:spacing w:val="0"/>
          <w:sz w:val="31"/>
          <w:szCs w:val="31"/>
          <w:bdr w:val="none" w:color="auto" w:sz="0" w:space="0"/>
          <w:shd w:val="clear" w:fill="FFFFFF"/>
        </w:rPr>
        <w:t>信息公开制度仍需进一步优化；信息公开工作队伍能力亟需进一步提高，更新公开内容的速度尚需进一步加快；</w:t>
      </w:r>
      <w:r>
        <w:rPr>
          <w:rFonts w:hint="default" w:ascii="仿宋_GB2312" w:hAnsi="微软雅黑" w:eastAsia="仿宋_GB2312" w:cs="仿宋_GB2312"/>
          <w:i w:val="0"/>
          <w:caps w:val="0"/>
          <w:color w:val="000000"/>
          <w:spacing w:val="0"/>
          <w:sz w:val="31"/>
          <w:szCs w:val="31"/>
          <w:bdr w:val="none" w:color="auto" w:sz="0" w:space="0"/>
          <w:shd w:val="clear" w:fill="FFFFFF"/>
        </w:rPr>
        <w:t>部分工作人员对信息公开的重要性认识不足，业务能力有待提高。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40" w:lineRule="atLeast"/>
        <w:ind w:left="0" w:right="0" w:firstLine="645"/>
        <w:jc w:val="both"/>
        <w:textAlignment w:val="center"/>
        <w:rPr>
          <w:rFonts w:hint="eastAsia" w:ascii="微软雅黑" w:hAnsi="微软雅黑" w:eastAsia="微软雅黑" w:cs="微软雅黑"/>
          <w:i w:val="0"/>
          <w:caps w:val="0"/>
          <w:color w:val="333333"/>
          <w:spacing w:val="0"/>
          <w:sz w:val="24"/>
          <w:szCs w:val="24"/>
        </w:rPr>
      </w:pPr>
      <w:r>
        <w:rPr>
          <w:rFonts w:hint="default" w:ascii="楷体_GB2312" w:hAnsi="微软雅黑" w:eastAsia="楷体_GB2312" w:cs="楷体_GB2312"/>
          <w:i w:val="0"/>
          <w:caps w:val="0"/>
          <w:color w:val="000000"/>
          <w:spacing w:val="0"/>
          <w:sz w:val="31"/>
          <w:szCs w:val="31"/>
          <w:bdr w:val="none" w:color="auto" w:sz="0" w:space="0"/>
          <w:shd w:val="clear" w:fill="FFFFFF"/>
        </w:rPr>
        <w:t>（二）改进的措施。</w:t>
      </w:r>
      <w:r>
        <w:rPr>
          <w:rFonts w:hint="default" w:ascii="仿宋_GB2312" w:hAnsi="微软雅黑" w:eastAsia="仿宋_GB2312" w:cs="仿宋_GB2312"/>
          <w:i w:val="0"/>
          <w:caps w:val="0"/>
          <w:color w:val="000000"/>
          <w:spacing w:val="0"/>
          <w:sz w:val="31"/>
          <w:szCs w:val="31"/>
          <w:bdr w:val="none" w:color="auto" w:sz="0" w:space="0"/>
          <w:shd w:val="clear" w:fill="FFFFFF"/>
        </w:rPr>
        <w:t>2022年我街道将从以下几方面进一步深化政府信息公开工作：一是促进政务公开工作的规范化发展，建立健全政务公开责任制度、公开目录、政务公开载体、政务公开意见收集处理反馈制度、政务公开资料归档制度等多项制度，使各项制度贯穿于公开前、公开中、公开后的全过程。二是加强工作管理，严格按照上级要求认真完成信息公开工作，需要更新的信息做到及时更新，确保时效性。三是进一步加强对《条例》的贯彻落实，坚持把群众关注的热点、焦点、难点问题作为公开的重点，凡是对不涉及党和国家秘密的工作，按有关保密规定可以公开的原则上都要进行公开。同时，加强政府信息公开信息员队伍建设，提升工作人员综合素质，提高工作效率。</w:t>
      </w:r>
    </w:p>
    <w:p>
      <w:pPr>
        <w:pStyle w:val="2"/>
        <w:widowControl/>
        <w:shd w:val="clear" w:color="auto" w:fill="FFFFFF"/>
        <w:spacing w:before="0" w:beforeAutospacing="0" w:after="0" w:afterAutospacing="0"/>
        <w:ind w:firstLine="643" w:firstLineChars="200"/>
        <w:jc w:val="both"/>
        <w:rPr>
          <w:rFonts w:hint="eastAsia" w:ascii="黑体" w:hAnsi="黑体" w:eastAsia="黑体" w:cs="宋体"/>
          <w:color w:val="333333"/>
          <w:sz w:val="32"/>
          <w:szCs w:val="32"/>
        </w:rPr>
      </w:pPr>
      <w:r>
        <w:rPr>
          <w:rFonts w:hint="eastAsia" w:ascii="黑体" w:hAnsi="黑体" w:eastAsia="黑体" w:cs="宋体"/>
          <w:b/>
          <w:color w:val="333333"/>
          <w:sz w:val="32"/>
          <w:szCs w:val="32"/>
          <w:shd w:val="clear" w:color="auto" w:fill="FFFFFF"/>
        </w:rPr>
        <w:t>六、其他需要报告的事项</w:t>
      </w:r>
    </w:p>
    <w:p>
      <w:pPr>
        <w:pStyle w:val="2"/>
        <w:widowControl/>
        <w:shd w:val="clear" w:color="auto" w:fill="FFFFFF"/>
        <w:spacing w:before="0" w:beforeAutospacing="0" w:after="0" w:afterAutospacing="0"/>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依据《政府信息公开信息处理费管理办法》2021年发出收费通知0件，实际收取金额0元。</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A7432"/>
    <w:multiLevelType w:val="singleLevel"/>
    <w:tmpl w:val="DA8A7432"/>
    <w:lvl w:ilvl="0" w:tentative="0">
      <w:start w:val="2"/>
      <w:numFmt w:val="chineseCounting"/>
      <w:suff w:val="nothing"/>
      <w:lvlText w:val="%1、"/>
      <w:lvlJc w:val="left"/>
      <w:rPr>
        <w:rFonts w:hint="eastAsia"/>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BB"/>
    <w:rsid w:val="000348BB"/>
    <w:rsid w:val="000E4C79"/>
    <w:rsid w:val="00DA4ABB"/>
    <w:rsid w:val="0E7956F3"/>
    <w:rsid w:val="17854E4F"/>
    <w:rsid w:val="33A702EE"/>
    <w:rsid w:val="3A502FCC"/>
    <w:rsid w:val="573E05A1"/>
    <w:rsid w:val="5CD25BC7"/>
    <w:rsid w:val="5EFE0083"/>
    <w:rsid w:val="76EA1C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420</Words>
  <Characters>2396</Characters>
  <Lines>19</Lines>
  <Paragraphs>5</Paragraphs>
  <TotalTime>5</TotalTime>
  <ScaleCrop>false</ScaleCrop>
  <LinksUpToDate>false</LinksUpToDate>
  <CharactersWithSpaces>2811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2022-02-16T14:43:06Z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2C40C185E5F746AEAE9E790DBB810689</vt:lpwstr>
  </property>
</Properties>
</file>