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宋体" w:eastAsia="方正小标宋简体" w:cs="宋体"/>
          <w:b/>
          <w:color w:val="333333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color w:val="333333"/>
          <w:sz w:val="44"/>
          <w:szCs w:val="44"/>
          <w:shd w:val="clear" w:color="auto" w:fill="FFFFFF"/>
        </w:rPr>
        <w:t xml:space="preserve"> 呼兰区营商环境建设监督局2021年政府</w:t>
      </w:r>
      <w:r>
        <w:rPr>
          <w:rFonts w:hint="eastAsia" w:ascii="方正小标宋简体" w:hAnsi="宋体" w:eastAsia="方正小标宋简体" w:cs="宋体"/>
          <w:b/>
          <w:color w:val="333333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b/>
          <w:color w:val="333333"/>
          <w:sz w:val="44"/>
          <w:szCs w:val="44"/>
          <w:shd w:val="clear" w:color="auto" w:fill="FFFFFF"/>
        </w:rPr>
        <w:t>信息公开工作年度报告</w:t>
      </w:r>
    </w:p>
    <w:bookmarkEnd w:id="0"/>
    <w:p>
      <w:pPr>
        <w:pStyle w:val="4"/>
        <w:spacing w:before="0" w:beforeAutospacing="0" w:after="0" w:afterAutospacing="0" w:line="600" w:lineRule="exact"/>
        <w:rPr>
          <w:rFonts w:hint="eastAsia" w:ascii="黑体" w:hAnsi="黑体" w:eastAsia="黑体" w:cs="宋体"/>
          <w:sz w:val="44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 w:bidi="ar-SA"/>
        </w:rPr>
        <w:t>根据《中华人民共和国政府信息公开条例》规定和《国务院办公厅政府信息与政务公开办公室关于印发&lt;中华人民共和国政府信息公开工作年度报告格式&gt;的通知》（国办公开办函〔2021〕30号）的要求，我局在总结2021年政府信息公开工作的基础上，编制了此报告。报告中所列数据统计期限自2021年1月1日至2021年12月31日止。本报告通过“呼兰区人民政府网站”（http://www.hulan.gov.cn/）查阅向社会公布。若对本报告有任何疑问或意见建议，请联系呼兰区营商环境建设监督局，联系电话0451-56890090。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20"/>
        </w:rPr>
        <w:t>一、总体情况</w:t>
      </w:r>
    </w:p>
    <w:p>
      <w:pPr>
        <w:widowControl/>
        <w:spacing w:line="600" w:lineRule="exact"/>
        <w:jc w:val="left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cs="宋体"/>
          <w:kern w:val="0"/>
          <w:sz w:val="20"/>
          <w:szCs w:val="20"/>
        </w:rPr>
        <w:t>　</w:t>
      </w:r>
      <w:r>
        <w:rPr>
          <w:rFonts w:cs="宋体"/>
          <w:kern w:val="0"/>
          <w:sz w:val="32"/>
          <w:szCs w:val="32"/>
        </w:rPr>
        <w:t>　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2021年，我局高度重视政府信息公开工作，认真贯彻落实省、市相关工作部署，结合职能，坚持“以公开为常态、不公开为例外”原则，把政府信息公开作为扩大公众参与、接受社会监督、听取吸纳意见、改进的重要手段，确保信息工作责任落实到位，切实提升政务公开工作质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（一）主动公开情况。主要通过门户网站、政务公开网站等其他便民渠道公开，发布各类政务信息。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（二）依申请公开情况。2021年区营商局接到群众主动要求公开政府信息的申请0条。目前尚未发现应主动公开政府信息而未予公开的情况。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三）政府信息管理。制订了局机关政务公开工作年度工作计划，进一步明确责任分工、工作程序、公开范围、方式与时限、监督保障等，促进政务公开工作规范化。确定由办公室负责全局政务公开工作的组织实施、指导协调和政务公开工作的整理汇总，各业务科室根据各自职责做好职责范围内的政务公开工作。严格遵循政务公开工作基本原则，公开不涉密，涉密不公开，做到依法公开、真实公正、注重实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（四）平台建设。区营商局充分利用区政府平台等传播渠道，以涉及人民群众切身利益为重点，及时向社会公布事项清单等。确保公众能够快捷、方便地获取政府信息。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五）监督保障。为确保政府信息公开工作扎实推进，区营商环境建设监督局强化联络员制度，由局机关办公室指派专人负责政府信息公开工作，及时上报信息公开项目和内容，建立常态化工作机制。强化信息发布制度，所有信息发布由局分管领导审核，并建立信息发布协调制度,确保安全性与准确性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FF0000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宋体"/>
          <w:sz w:val="32"/>
          <w:szCs w:val="20"/>
        </w:rPr>
      </w:pPr>
      <w:r>
        <w:rPr>
          <w:rFonts w:hint="eastAsia" w:ascii="黑体" w:hAnsi="黑体" w:eastAsia="黑体" w:cs="宋体"/>
          <w:sz w:val="32"/>
          <w:szCs w:val="20"/>
        </w:rPr>
        <w:t>二、主动公开政府信息情况</w:t>
      </w:r>
    </w:p>
    <w:tbl>
      <w:tblPr>
        <w:tblStyle w:val="5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cs="宋体"/>
          <w:b/>
          <w:color w:val="333333"/>
          <w:shd w:val="clear" w:color="auto" w:fill="FFFFFF"/>
        </w:rPr>
      </w:pPr>
      <w:r>
        <w:rPr>
          <w:rFonts w:hint="eastAsia" w:ascii="黑体" w:hAnsi="黑体" w:eastAsia="黑体" w:cs="宋体"/>
          <w:sz w:val="32"/>
          <w:szCs w:val="20"/>
        </w:rPr>
        <w:t>三、收到和处理政府信息公开申请情况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dotted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dotted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dotted" w:color="auto" w:sz="0" w:space="0"/>
              <w:left w:val="single" w:color="auto" w:sz="0" w:space="0"/>
              <w:bottom w:val="single" w:color="auto" w:sz="8" w:space="0"/>
              <w:right w:val="threeDEngrav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dotDash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dashed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dotted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dotted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dotted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dotDotDash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dotDash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dotted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thickThinLargeGap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Medium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LargeGap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reeDEmboss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dotted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dotted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dotted" w:color="auto" w:sz="0" w:space="0"/>
              <w:left w:val="single" w:color="auto" w:sz="0" w:space="0"/>
              <w:bottom w:val="single" w:color="auto" w:sz="8" w:space="0"/>
              <w:right w:val="threeDEngrav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nil"/>
              <w:bottom w:val="dotDash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doubleWave" w:color="auto" w:sz="0" w:space="0"/>
              <w:left w:val="nil"/>
              <w:bottom w:val="single" w:color="auto" w:sz="8" w:space="0"/>
              <w:right w:val="dashSmallGap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dashDotStroked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/>
        <w:ind w:firstLine="960" w:firstLineChars="300"/>
        <w:jc w:val="both"/>
        <w:rPr>
          <w:rFonts w:hint="eastAsia" w:ascii="黑体" w:hAnsi="黑体" w:eastAsia="黑体" w:cs="宋体"/>
          <w:sz w:val="32"/>
          <w:szCs w:val="20"/>
        </w:rPr>
      </w:pPr>
      <w:r>
        <w:rPr>
          <w:rFonts w:hint="eastAsia" w:ascii="黑体" w:hAnsi="黑体" w:eastAsia="黑体" w:cs="宋体"/>
          <w:sz w:val="32"/>
          <w:szCs w:val="20"/>
        </w:rPr>
        <w:t>四、政府信息公开行政复议、行政诉讼情况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 xml:space="preserve"> 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 xml:space="preserve"> 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 xml:space="preserve"> 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 xml:space="preserve"> 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 xml:space="preserve"> 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120" w:firstLineChars="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600" w:lineRule="exact"/>
        <w:ind w:firstLine="960" w:firstLineChars="300"/>
        <w:jc w:val="both"/>
        <w:rPr>
          <w:rFonts w:hint="eastAsia" w:ascii="黑体" w:hAnsi="黑体" w:eastAsia="黑体" w:cs="宋体"/>
          <w:sz w:val="32"/>
          <w:szCs w:val="20"/>
        </w:rPr>
      </w:pPr>
      <w:r>
        <w:rPr>
          <w:rFonts w:hint="eastAsia" w:ascii="黑体" w:hAnsi="黑体" w:eastAsia="黑体" w:cs="宋体"/>
          <w:sz w:val="32"/>
          <w:szCs w:val="20"/>
        </w:rPr>
        <w:t>五、存在的主要问题及改进情况</w:t>
      </w:r>
    </w:p>
    <w:p>
      <w:pPr>
        <w:pStyle w:val="4"/>
        <w:spacing w:before="0" w:beforeAutospacing="0" w:after="0" w:afterAutospacing="0"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21年，我局政府信息公开工作在上级部门的领导下取得了一些成效，但也清醒地认识到，在信息公开工作中仍然存在一些问题：</w:t>
      </w:r>
      <w:r>
        <w:rPr>
          <w:rFonts w:hint="eastAsia" w:ascii="仿宋" w:hAnsi="仿宋" w:eastAsia="仿宋" w:cs="宋体"/>
          <w:b/>
          <w:sz w:val="32"/>
          <w:szCs w:val="32"/>
        </w:rPr>
        <w:t>一是</w:t>
      </w:r>
      <w:r>
        <w:rPr>
          <w:rFonts w:hint="eastAsia" w:ascii="仿宋" w:hAnsi="仿宋" w:eastAsia="仿宋" w:cs="宋体"/>
          <w:sz w:val="32"/>
          <w:szCs w:val="32"/>
        </w:rPr>
        <w:t>政府信息公开主动性不够强、及时性不够，对一些公开的内容存在遗漏现象；</w:t>
      </w:r>
      <w:r>
        <w:rPr>
          <w:rFonts w:hint="eastAsia" w:ascii="仿宋" w:hAnsi="仿宋" w:eastAsia="仿宋" w:cs="宋体"/>
          <w:b/>
          <w:sz w:val="32"/>
          <w:szCs w:val="32"/>
        </w:rPr>
        <w:t>二是</w:t>
      </w:r>
      <w:r>
        <w:rPr>
          <w:rFonts w:hint="eastAsia" w:ascii="仿宋" w:hAnsi="仿宋" w:eastAsia="仿宋" w:cs="宋体"/>
          <w:sz w:val="32"/>
          <w:szCs w:val="32"/>
        </w:rPr>
        <w:t>信息公开有的栏目公开事项较少，如：工作动态较多，其他公开重视程度不够</w:t>
      </w:r>
      <w:r>
        <w:rPr>
          <w:rFonts w:ascii="仿宋" w:hAnsi="仿宋" w:eastAsia="仿宋" w:cs="宋体"/>
          <w:sz w:val="32"/>
          <w:szCs w:val="32"/>
        </w:rPr>
        <w:t>;</w:t>
      </w:r>
      <w:r>
        <w:rPr>
          <w:rFonts w:hint="eastAsia" w:ascii="仿宋" w:hAnsi="仿宋" w:eastAsia="仿宋" w:cs="宋体"/>
          <w:sz w:val="32"/>
          <w:szCs w:val="32"/>
        </w:rPr>
        <w:t>导致公开内容较少。</w:t>
      </w:r>
      <w:r>
        <w:rPr>
          <w:rFonts w:hint="eastAsia" w:ascii="仿宋" w:hAnsi="仿宋" w:eastAsia="仿宋" w:cs="宋体"/>
          <w:b/>
          <w:sz w:val="32"/>
          <w:szCs w:val="32"/>
        </w:rPr>
        <w:t>三是</w:t>
      </w:r>
      <w:r>
        <w:rPr>
          <w:rFonts w:hint="eastAsia" w:ascii="仿宋" w:hAnsi="仿宋" w:eastAsia="仿宋" w:cs="宋体"/>
          <w:sz w:val="32"/>
          <w:szCs w:val="32"/>
        </w:rPr>
        <w:t>公开的内容和形式还欠丰富。</w:t>
      </w:r>
    </w:p>
    <w:p>
      <w:pPr>
        <w:widowControl/>
        <w:spacing w:line="60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下一步，我局将按照区政府对政府信息公开的相关要求，继续大力推进政府信息公开工作，主要是做好以下几方面工作：</w:t>
      </w:r>
    </w:p>
    <w:p>
      <w:pPr>
        <w:widowControl/>
        <w:spacing w:line="60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一是</w:t>
      </w:r>
      <w:r>
        <w:rPr>
          <w:rFonts w:hint="eastAsia" w:ascii="仿宋" w:hAnsi="仿宋" w:eastAsia="仿宋" w:cs="宋体"/>
          <w:kern w:val="0"/>
          <w:sz w:val="32"/>
          <w:szCs w:val="32"/>
        </w:rPr>
        <w:t>不断强化对工作人员的理论培训和业务培训。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二是</w:t>
      </w:r>
      <w:r>
        <w:rPr>
          <w:rFonts w:hint="eastAsia" w:ascii="仿宋" w:hAnsi="仿宋" w:eastAsia="仿宋" w:cs="宋体"/>
          <w:kern w:val="0"/>
          <w:sz w:val="32"/>
          <w:szCs w:val="32"/>
        </w:rPr>
        <w:t>紧紧围绕实施政府信息公开工作，多渠道、多形式，向社会和广大群众深入宣传政府信息公开工作，努力在我局形成群众积极关心政府信息公开的社会氛围。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三是</w:t>
      </w:r>
      <w:r>
        <w:rPr>
          <w:rFonts w:hint="eastAsia" w:ascii="仿宋" w:hAnsi="仿宋" w:eastAsia="仿宋" w:cs="宋体"/>
          <w:kern w:val="0"/>
          <w:sz w:val="32"/>
          <w:szCs w:val="32"/>
        </w:rPr>
        <w:t>进一步完善政府信息公开各项规章制度，形成以制度管人、以制度谋事的长效机制，进一步规范政府信息公开工作。</w:t>
      </w:r>
    </w:p>
    <w:p>
      <w:pPr>
        <w:widowControl/>
        <w:spacing w:line="600" w:lineRule="exact"/>
        <w:ind w:firstLine="48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32"/>
          <w:szCs w:val="20"/>
        </w:rPr>
        <w:t>六、其他需要报告的事项</w:t>
      </w:r>
    </w:p>
    <w:p>
      <w:pPr>
        <w:widowControl/>
        <w:spacing w:line="600" w:lineRule="exact"/>
        <w:ind w:firstLine="525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我局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21年度政府信息公开工作无其他需要报告的事项。</w:t>
      </w:r>
    </w:p>
    <w:p>
      <w:pPr>
        <w:widowControl/>
        <w:spacing w:line="600" w:lineRule="exact"/>
        <w:ind w:firstLine="525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525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525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exact"/>
        <w:ind w:firstLine="525"/>
        <w:jc w:val="righ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呼兰区营商环境建设监督局</w:t>
      </w:r>
    </w:p>
    <w:p>
      <w:pPr>
        <w:widowControl/>
        <w:spacing w:line="600" w:lineRule="exact"/>
        <w:ind w:firstLine="525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2022年1月11日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cs="宋体"/>
          <w:color w:val="FF000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B6090"/>
    <w:rsid w:val="00000154"/>
    <w:rsid w:val="00025B24"/>
    <w:rsid w:val="000371A5"/>
    <w:rsid w:val="000557CB"/>
    <w:rsid w:val="000C302E"/>
    <w:rsid w:val="000F1E23"/>
    <w:rsid w:val="001A7B2E"/>
    <w:rsid w:val="002325FA"/>
    <w:rsid w:val="00265196"/>
    <w:rsid w:val="002B16EB"/>
    <w:rsid w:val="002B39B3"/>
    <w:rsid w:val="002D3FF9"/>
    <w:rsid w:val="002D6CBF"/>
    <w:rsid w:val="00310EB3"/>
    <w:rsid w:val="0034413E"/>
    <w:rsid w:val="004733EE"/>
    <w:rsid w:val="004A0654"/>
    <w:rsid w:val="005D3FE4"/>
    <w:rsid w:val="005D6E47"/>
    <w:rsid w:val="00606085"/>
    <w:rsid w:val="00653B91"/>
    <w:rsid w:val="00683927"/>
    <w:rsid w:val="006E0745"/>
    <w:rsid w:val="007846E5"/>
    <w:rsid w:val="00791675"/>
    <w:rsid w:val="0085724B"/>
    <w:rsid w:val="00885B3E"/>
    <w:rsid w:val="008C25F0"/>
    <w:rsid w:val="0090641F"/>
    <w:rsid w:val="009437D0"/>
    <w:rsid w:val="009A4B20"/>
    <w:rsid w:val="009B1B8A"/>
    <w:rsid w:val="009D73EA"/>
    <w:rsid w:val="00A43129"/>
    <w:rsid w:val="00AA1AD3"/>
    <w:rsid w:val="00AA5564"/>
    <w:rsid w:val="00AD6488"/>
    <w:rsid w:val="00B03FB7"/>
    <w:rsid w:val="00B05151"/>
    <w:rsid w:val="00B36DD7"/>
    <w:rsid w:val="00B50CC5"/>
    <w:rsid w:val="00B9319E"/>
    <w:rsid w:val="00BF288D"/>
    <w:rsid w:val="00C626C9"/>
    <w:rsid w:val="00D42A6A"/>
    <w:rsid w:val="00D62B54"/>
    <w:rsid w:val="00D8501D"/>
    <w:rsid w:val="00DD0399"/>
    <w:rsid w:val="00E47B44"/>
    <w:rsid w:val="00E55514"/>
    <w:rsid w:val="00F36768"/>
    <w:rsid w:val="162B6090"/>
    <w:rsid w:val="1B183C86"/>
    <w:rsid w:val="326D0C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457</Words>
  <Characters>2606</Characters>
  <Lines>21</Lines>
  <Paragraphs>6</Paragraphs>
  <TotalTime>8</TotalTime>
  <ScaleCrop>false</ScaleCrop>
  <LinksUpToDate>false</LinksUpToDate>
  <CharactersWithSpaces>3057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2022-01-11T06:01:00Z</dcterms:created>
  <dc:creator>Administrator</dc:creator>
  <cp:lastModifiedBy>Administrator</cp:lastModifiedBy>
  <dcterms:modified xsi:type="dcterms:W3CDTF">2022-02-16T13:10:29Z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