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仿宋" w:hAnsi="仿宋" w:eastAsia="仿宋" w:cs="仿宋"/>
          <w:i w:val="0"/>
          <w:caps w:val="0"/>
          <w:color w:val="auto"/>
          <w:spacing w:val="0"/>
          <w:kern w:val="2"/>
          <w:sz w:val="32"/>
          <w:szCs w:val="32"/>
          <w:shd w:val="clear" w:color="auto" w:fill="FFFFFF"/>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呼兰区202</w:t>
      </w:r>
      <w:r>
        <w:rPr>
          <w:rFonts w:hint="eastAsia" w:ascii="方正小标宋简体" w:hAnsi="方正小标宋简体" w:eastAsia="方正小标宋简体" w:cs="方正小标宋简体"/>
          <w:b w:val="0"/>
          <w:bCs/>
          <w:color w:val="auto"/>
          <w:sz w:val="44"/>
          <w:szCs w:val="44"/>
          <w:lang w:val="en-US" w:eastAsia="zh-CN"/>
        </w:rPr>
        <w:t>1</w:t>
      </w:r>
      <w:r>
        <w:rPr>
          <w:rFonts w:hint="eastAsia" w:ascii="方正小标宋简体" w:hAnsi="方正小标宋简体" w:eastAsia="方正小标宋简体" w:cs="方正小标宋简体"/>
          <w:b w:val="0"/>
          <w:bCs/>
          <w:color w:val="auto"/>
          <w:sz w:val="44"/>
          <w:szCs w:val="44"/>
        </w:rPr>
        <w:t>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1760" w:firstLineChars="400"/>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方正小标宋简体" w:hAnsi="方正小标宋简体" w:eastAsia="方正小标宋简体" w:cs="方正小标宋简体"/>
          <w:b w:val="0"/>
          <w:bCs/>
          <w:color w:val="auto"/>
          <w:sz w:val="44"/>
          <w:szCs w:val="44"/>
        </w:rPr>
        <w:t>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根据《中华人民共和国政府信息公开条例》《</w:t>
      </w:r>
      <w:r>
        <w:rPr>
          <w:rFonts w:hint="eastAsia" w:ascii="仿宋" w:hAnsi="仿宋" w:eastAsia="仿宋" w:cs="仿宋"/>
          <w:i w:val="0"/>
          <w:caps w:val="0"/>
          <w:color w:val="auto"/>
          <w:spacing w:val="0"/>
          <w:sz w:val="32"/>
          <w:szCs w:val="32"/>
          <w:shd w:val="clear" w:color="auto" w:fill="FFFFFF"/>
          <w:lang w:eastAsia="zh-CN"/>
        </w:rPr>
        <w:t>国务院办公厅政府信息与政务公开办公室关于印发</w:t>
      </w:r>
      <w:r>
        <w:rPr>
          <w:rFonts w:hint="eastAsia" w:ascii="仿宋" w:hAnsi="仿宋" w:eastAsia="仿宋" w:cs="仿宋"/>
          <w:i w:val="0"/>
          <w:caps w:val="0"/>
          <w:color w:val="auto"/>
          <w:spacing w:val="0"/>
          <w:sz w:val="32"/>
          <w:szCs w:val="32"/>
          <w:shd w:val="clear" w:color="auto" w:fill="FFFFFF"/>
        </w:rPr>
        <w:t>中华人民共和国政府公开工作年度报告格式的通知》(国办公开办函〔2021〕30号）和《哈尔滨市政府信息公开办法》有关规定，在总结我</w:t>
      </w:r>
      <w:r>
        <w:rPr>
          <w:rFonts w:hint="eastAsia" w:ascii="仿宋" w:hAnsi="仿宋" w:eastAsia="仿宋" w:cs="仿宋"/>
          <w:i w:val="0"/>
          <w:caps w:val="0"/>
          <w:color w:val="auto"/>
          <w:spacing w:val="0"/>
          <w:sz w:val="32"/>
          <w:szCs w:val="32"/>
          <w:shd w:val="clear" w:color="auto" w:fill="FFFFFF"/>
          <w:lang w:val="en-US" w:eastAsia="zh-CN"/>
        </w:rPr>
        <w:t>区</w:t>
      </w:r>
      <w:r>
        <w:rPr>
          <w:rFonts w:hint="eastAsia" w:ascii="仿宋" w:hAnsi="仿宋" w:eastAsia="仿宋" w:cs="仿宋"/>
          <w:i w:val="0"/>
          <w:caps w:val="0"/>
          <w:color w:val="auto"/>
          <w:spacing w:val="0"/>
          <w:sz w:val="32"/>
          <w:szCs w:val="32"/>
          <w:shd w:val="clear" w:color="auto" w:fill="FFFFFF"/>
        </w:rPr>
        <w:t>2021年政府信息公开工作的基础上，编制此报告。报告中所列数据统计期限自2021年1月1日起至2021年12月31日止。本报告通过“呼兰区人民政府网站”（http://www.hulan.gov.cn/）向社会公布。若对本报告有任何疑问或意见建议，请联系</w:t>
      </w:r>
      <w:r>
        <w:rPr>
          <w:rFonts w:hint="eastAsia" w:ascii="仿宋" w:hAnsi="仿宋" w:eastAsia="仿宋" w:cs="仿宋"/>
          <w:i w:val="0"/>
          <w:caps w:val="0"/>
          <w:color w:val="auto"/>
          <w:spacing w:val="0"/>
          <w:sz w:val="32"/>
          <w:szCs w:val="32"/>
          <w:shd w:val="clear" w:color="auto" w:fill="FFFFFF"/>
          <w:lang w:val="en-US" w:eastAsia="zh-CN"/>
        </w:rPr>
        <w:t>哈尔滨市</w:t>
      </w:r>
      <w:r>
        <w:rPr>
          <w:rFonts w:hint="eastAsia" w:ascii="仿宋" w:hAnsi="仿宋" w:eastAsia="仿宋" w:cs="仿宋"/>
          <w:i w:val="0"/>
          <w:caps w:val="0"/>
          <w:color w:val="auto"/>
          <w:spacing w:val="0"/>
          <w:sz w:val="32"/>
          <w:szCs w:val="32"/>
          <w:shd w:val="clear" w:color="auto" w:fill="FFFFFF"/>
        </w:rPr>
        <w:t>呼兰区</w:t>
      </w:r>
      <w:r>
        <w:rPr>
          <w:rFonts w:hint="eastAsia" w:ascii="仿宋" w:hAnsi="仿宋" w:eastAsia="仿宋" w:cs="仿宋"/>
          <w:i w:val="0"/>
          <w:caps w:val="0"/>
          <w:color w:val="auto"/>
          <w:spacing w:val="0"/>
          <w:sz w:val="32"/>
          <w:szCs w:val="32"/>
          <w:shd w:val="clear" w:color="auto" w:fill="FFFFFF"/>
          <w:lang w:val="en-US" w:eastAsia="zh-CN"/>
        </w:rPr>
        <w:t>政府办公室</w:t>
      </w:r>
      <w:r>
        <w:rPr>
          <w:rFonts w:hint="eastAsia" w:ascii="仿宋" w:hAnsi="仿宋" w:eastAsia="仿宋" w:cs="仿宋"/>
          <w:i w:val="0"/>
          <w:caps w:val="0"/>
          <w:color w:val="auto"/>
          <w:spacing w:val="0"/>
          <w:sz w:val="32"/>
          <w:szCs w:val="32"/>
          <w:shd w:val="clear" w:color="auto" w:fill="FFFFFF"/>
        </w:rPr>
        <w:t>，联系电话</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0451-</w:t>
      </w:r>
      <w:r>
        <w:rPr>
          <w:rFonts w:hint="eastAsia" w:ascii="仿宋" w:hAnsi="仿宋" w:eastAsia="仿宋" w:cs="仿宋"/>
          <w:i w:val="0"/>
          <w:caps w:val="0"/>
          <w:color w:val="auto"/>
          <w:spacing w:val="0"/>
          <w:sz w:val="32"/>
          <w:szCs w:val="32"/>
          <w:shd w:val="clear" w:color="auto" w:fill="FFFFFF"/>
          <w:lang w:val="en-US" w:eastAsia="zh-CN"/>
        </w:rPr>
        <w:t>57321163</w:t>
      </w:r>
      <w:r>
        <w:rPr>
          <w:rFonts w:hint="eastAsia" w:ascii="仿宋" w:hAnsi="仿宋" w:eastAsia="仿宋" w:cs="仿宋"/>
          <w:i w:val="0"/>
          <w:caps w:val="0"/>
          <w:color w:val="auto"/>
          <w:spacing w:val="0"/>
          <w:sz w:val="32"/>
          <w:szCs w:val="32"/>
          <w:shd w:val="clear" w:color="auto" w:fill="FFFFFF"/>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rPr>
        <w:t>总体情况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 w:hAnsi="仿宋" w:eastAsia="仿宋" w:cs="仿宋"/>
          <w:i w:val="0"/>
          <w:caps w:val="0"/>
          <w:color w:val="auto"/>
          <w:spacing w:val="0"/>
          <w:sz w:val="32"/>
          <w:szCs w:val="32"/>
          <w:lang w:eastAsia="zh-CN"/>
        </w:rPr>
      </w:pPr>
      <w:r>
        <w:rPr>
          <w:rFonts w:hint="eastAsia" w:ascii="楷体" w:hAnsi="楷体" w:eastAsia="楷体" w:cs="楷体"/>
          <w:i w:val="0"/>
          <w:caps w:val="0"/>
          <w:color w:val="auto"/>
          <w:spacing w:val="0"/>
          <w:sz w:val="32"/>
          <w:szCs w:val="32"/>
          <w:shd w:val="clear" w:color="auto" w:fill="FFFFFF"/>
        </w:rPr>
        <w:t>（一）以“公开为常态、不公开为例外”做好主动公开</w:t>
      </w:r>
      <w:r>
        <w:rPr>
          <w:rFonts w:hint="eastAsia" w:ascii="楷体" w:hAnsi="楷体" w:eastAsia="楷体" w:cs="楷体"/>
          <w:i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推动法定主动公开内容应公开尽公开，充分发挥区政府门户网站信息公开第一平台作用。2021年度全区共主动公开政府信息</w:t>
      </w:r>
      <w:r>
        <w:rPr>
          <w:rFonts w:hint="eastAsia" w:ascii="仿宋" w:hAnsi="仿宋" w:eastAsia="仿宋" w:cs="仿宋"/>
          <w:i w:val="0"/>
          <w:caps w:val="0"/>
          <w:color w:val="auto"/>
          <w:spacing w:val="0"/>
          <w:sz w:val="32"/>
          <w:szCs w:val="32"/>
          <w:shd w:val="clear" w:color="auto" w:fill="FFFFFF"/>
          <w:lang w:val="en-US" w:eastAsia="zh-CN"/>
        </w:rPr>
        <w:t>3956</w:t>
      </w:r>
      <w:r>
        <w:rPr>
          <w:rFonts w:hint="eastAsia" w:ascii="仿宋" w:hAnsi="仿宋" w:eastAsia="仿宋" w:cs="仿宋"/>
          <w:i w:val="0"/>
          <w:caps w:val="0"/>
          <w:color w:val="auto"/>
          <w:spacing w:val="0"/>
          <w:sz w:val="32"/>
          <w:szCs w:val="32"/>
          <w:shd w:val="clear" w:color="auto" w:fill="FFFFFF"/>
        </w:rPr>
        <w:t>条，分别涉及规划计划信息、财政预决算信息、重大民生信息、常态化疫情防控信息及其他法定信息内容。加强权威发声，主动回应关切。通过文字、视频解读、媒体报道等多种形式共发布政策解读</w:t>
      </w:r>
      <w:r>
        <w:rPr>
          <w:rFonts w:hint="eastAsia" w:ascii="仿宋" w:hAnsi="仿宋" w:eastAsia="仿宋" w:cs="仿宋"/>
          <w:i w:val="0"/>
          <w:caps w:val="0"/>
          <w:color w:val="auto"/>
          <w:spacing w:val="0"/>
          <w:sz w:val="32"/>
          <w:szCs w:val="32"/>
          <w:shd w:val="clear" w:color="auto" w:fill="FFFFFF"/>
          <w:lang w:val="en-US" w:eastAsia="zh-CN"/>
        </w:rPr>
        <w:t>35</w:t>
      </w:r>
      <w:r>
        <w:rPr>
          <w:rFonts w:hint="eastAsia" w:ascii="仿宋" w:hAnsi="仿宋" w:eastAsia="仿宋" w:cs="仿宋"/>
          <w:i w:val="0"/>
          <w:caps w:val="0"/>
          <w:color w:val="auto"/>
          <w:spacing w:val="0"/>
          <w:sz w:val="32"/>
          <w:szCs w:val="32"/>
          <w:shd w:val="clear" w:color="auto" w:fill="FFFFFF"/>
        </w:rPr>
        <w:t>条，</w:t>
      </w:r>
      <w:r>
        <w:rPr>
          <w:rFonts w:hint="eastAsia" w:ascii="仿宋" w:hAnsi="仿宋" w:eastAsia="仿宋" w:cs="仿宋"/>
          <w:i w:val="0"/>
          <w:caps w:val="0"/>
          <w:color w:val="auto"/>
          <w:spacing w:val="0"/>
          <w:sz w:val="32"/>
          <w:szCs w:val="32"/>
          <w:shd w:val="clear" w:color="auto" w:fill="FFFFFF"/>
          <w:lang w:val="en-US" w:eastAsia="zh-CN"/>
        </w:rPr>
        <w:t>留言办理64</w:t>
      </w:r>
      <w:r>
        <w:rPr>
          <w:rFonts w:hint="eastAsia" w:ascii="仿宋" w:hAnsi="仿宋" w:eastAsia="仿宋" w:cs="仿宋"/>
          <w:i w:val="0"/>
          <w:caps w:val="0"/>
          <w:color w:val="auto"/>
          <w:spacing w:val="0"/>
          <w:sz w:val="32"/>
          <w:szCs w:val="32"/>
          <w:shd w:val="clear" w:color="auto" w:fill="FFFFFF"/>
        </w:rPr>
        <w:t>条，开展在线访谈</w:t>
      </w:r>
      <w:r>
        <w:rPr>
          <w:rFonts w:hint="eastAsia" w:ascii="仿宋" w:hAnsi="仿宋" w:eastAsia="仿宋" w:cs="仿宋"/>
          <w:i w:val="0"/>
          <w:caps w:val="0"/>
          <w:color w:val="auto"/>
          <w:spacing w:val="0"/>
          <w:sz w:val="32"/>
          <w:szCs w:val="32"/>
          <w:shd w:val="clear" w:color="auto" w:fill="FFFFFF"/>
          <w:lang w:val="en-US" w:eastAsia="zh-CN"/>
        </w:rPr>
        <w:t>4</w:t>
      </w:r>
      <w:r>
        <w:rPr>
          <w:rFonts w:hint="eastAsia" w:ascii="仿宋" w:hAnsi="仿宋" w:eastAsia="仿宋" w:cs="仿宋"/>
          <w:i w:val="0"/>
          <w:caps w:val="0"/>
          <w:color w:val="auto"/>
          <w:spacing w:val="0"/>
          <w:sz w:val="32"/>
          <w:szCs w:val="32"/>
          <w:shd w:val="clear" w:color="auto" w:fill="FFFFFF"/>
        </w:rPr>
        <w:t>期，发布民意征集</w:t>
      </w:r>
      <w:r>
        <w:rPr>
          <w:rFonts w:hint="eastAsia" w:ascii="仿宋" w:hAnsi="仿宋" w:eastAsia="仿宋" w:cs="仿宋"/>
          <w:i w:val="0"/>
          <w:caps w:val="0"/>
          <w:color w:val="auto"/>
          <w:spacing w:val="0"/>
          <w:sz w:val="32"/>
          <w:szCs w:val="32"/>
          <w:shd w:val="clear" w:color="auto" w:fill="FFFFFF"/>
          <w:lang w:val="en-US" w:eastAsia="zh-CN"/>
        </w:rPr>
        <w:t>8</w:t>
      </w:r>
      <w:r>
        <w:rPr>
          <w:rFonts w:hint="eastAsia" w:ascii="仿宋" w:hAnsi="仿宋" w:eastAsia="仿宋" w:cs="仿宋"/>
          <w:i w:val="0"/>
          <w:caps w:val="0"/>
          <w:color w:val="auto"/>
          <w:spacing w:val="0"/>
          <w:sz w:val="32"/>
          <w:szCs w:val="32"/>
          <w:shd w:val="clear" w:color="auto" w:fill="FFFFFF"/>
        </w:rPr>
        <w:t>条。回应涉及社会保障、安全生产等方面的舆情。今年未出现涉及我区特别重大、突发事件的政务舆情。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楷体" w:hAnsi="楷体" w:eastAsia="楷体" w:cs="楷体"/>
          <w:i w:val="0"/>
          <w:caps w:val="0"/>
          <w:color w:val="auto"/>
          <w:spacing w:val="0"/>
          <w:sz w:val="32"/>
          <w:szCs w:val="32"/>
          <w:shd w:val="clear" w:color="auto" w:fill="FFFFFF"/>
        </w:rPr>
        <w:t>（二)依法做好依申请公开</w:t>
      </w:r>
      <w:r>
        <w:rPr>
          <w:rFonts w:hint="eastAsia" w:ascii="楷体" w:hAnsi="楷体" w:eastAsia="楷体" w:cs="楷体"/>
          <w:i w:val="0"/>
          <w:caps w:val="0"/>
          <w:color w:val="auto"/>
          <w:spacing w:val="0"/>
          <w:sz w:val="32"/>
          <w:szCs w:val="32"/>
          <w:shd w:val="clear" w:color="auto" w:fill="FFFFFF"/>
          <w:lang w:eastAsia="zh-CN"/>
        </w:rPr>
        <w:t>，</w:t>
      </w:r>
      <w:r>
        <w:rPr>
          <w:rFonts w:hint="eastAsia" w:ascii="楷体" w:hAnsi="楷体" w:eastAsia="楷体" w:cs="楷体"/>
          <w:i w:val="0"/>
          <w:caps w:val="0"/>
          <w:color w:val="auto"/>
          <w:spacing w:val="0"/>
          <w:sz w:val="32"/>
          <w:szCs w:val="32"/>
          <w:shd w:val="clear" w:color="auto" w:fill="FFFFFF"/>
        </w:rPr>
        <w:t>保障公众合法权益。</w:t>
      </w:r>
      <w:r>
        <w:rPr>
          <w:rFonts w:hint="eastAsia" w:ascii="仿宋" w:hAnsi="仿宋" w:eastAsia="仿宋" w:cs="仿宋"/>
          <w:i w:val="0"/>
          <w:caps w:val="0"/>
          <w:color w:val="auto"/>
          <w:spacing w:val="0"/>
          <w:sz w:val="32"/>
          <w:szCs w:val="32"/>
          <w:shd w:val="clear" w:color="auto" w:fill="FFFFFF"/>
        </w:rPr>
        <w:t>完善政府信息公开申请渠道，健全依申请登记、审核、办理、答复、归档的工作制度，加强工作规范。一年来全区依申请公开政府信息共有</w:t>
      </w:r>
      <w:r>
        <w:rPr>
          <w:rFonts w:hint="eastAsia" w:ascii="仿宋" w:hAnsi="仿宋" w:eastAsia="仿宋" w:cs="仿宋"/>
          <w:i w:val="0"/>
          <w:caps w:val="0"/>
          <w:color w:val="auto"/>
          <w:spacing w:val="0"/>
          <w:sz w:val="32"/>
          <w:szCs w:val="32"/>
          <w:shd w:val="clear" w:color="auto" w:fill="FFFFFF"/>
          <w:lang w:val="en-US" w:eastAsia="zh-CN"/>
        </w:rPr>
        <w:t>13</w:t>
      </w:r>
      <w:r>
        <w:rPr>
          <w:rFonts w:hint="eastAsia" w:ascii="仿宋" w:hAnsi="仿宋" w:eastAsia="仿宋" w:cs="仿宋"/>
          <w:i w:val="0"/>
          <w:caps w:val="0"/>
          <w:color w:val="auto"/>
          <w:spacing w:val="0"/>
          <w:sz w:val="32"/>
          <w:szCs w:val="32"/>
          <w:shd w:val="clear" w:color="auto" w:fill="FFFFFF"/>
        </w:rPr>
        <w:t>条，内容主要涉及征地拆迁、城乡建设等。进一步保障公众依法行使知情权、参与权、表达权、监督权。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楷体" w:hAnsi="楷体" w:eastAsia="楷体" w:cs="楷体"/>
          <w:i w:val="0"/>
          <w:caps w:val="0"/>
          <w:color w:val="auto"/>
          <w:spacing w:val="0"/>
          <w:sz w:val="32"/>
          <w:szCs w:val="32"/>
          <w:shd w:val="clear" w:color="auto" w:fill="FFFFFF"/>
        </w:rPr>
        <w:t>（三）规范政府信息管理</w:t>
      </w:r>
      <w:r>
        <w:rPr>
          <w:rFonts w:hint="eastAsia" w:ascii="楷体" w:hAnsi="楷体" w:eastAsia="楷体" w:cs="楷体"/>
          <w:i w:val="0"/>
          <w:caps w:val="0"/>
          <w:color w:val="auto"/>
          <w:spacing w:val="0"/>
          <w:sz w:val="32"/>
          <w:szCs w:val="32"/>
          <w:shd w:val="clear" w:color="auto" w:fill="FFFFFF"/>
          <w:lang w:eastAsia="zh-CN"/>
        </w:rPr>
        <w:t>，</w:t>
      </w:r>
      <w:r>
        <w:rPr>
          <w:rFonts w:hint="eastAsia" w:ascii="楷体" w:hAnsi="楷体" w:eastAsia="楷体" w:cs="楷体"/>
          <w:i w:val="0"/>
          <w:caps w:val="0"/>
          <w:color w:val="auto"/>
          <w:spacing w:val="0"/>
          <w:sz w:val="32"/>
          <w:szCs w:val="32"/>
          <w:shd w:val="clear" w:color="auto" w:fill="FFFFFF"/>
        </w:rPr>
        <w:t>提升公开质量。</w:t>
      </w:r>
      <w:r>
        <w:rPr>
          <w:rFonts w:hint="eastAsia" w:ascii="仿宋" w:hAnsi="仿宋" w:eastAsia="仿宋" w:cs="仿宋"/>
          <w:i w:val="0"/>
          <w:caps w:val="0"/>
          <w:color w:val="auto"/>
          <w:spacing w:val="0"/>
          <w:sz w:val="32"/>
          <w:szCs w:val="32"/>
          <w:shd w:val="clear" w:color="auto" w:fill="FFFFFF"/>
        </w:rPr>
        <w:t>建立政府信息公开审查机制，对拟公开的政府信息进行审查，有效保障了信息公开的安全性和时效性，及时发布主动公开的信息</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确保依申请公开</w:t>
      </w:r>
      <w:r>
        <w:rPr>
          <w:rFonts w:hint="eastAsia" w:ascii="仿宋" w:hAnsi="仿宋" w:eastAsia="仿宋" w:cs="仿宋"/>
          <w:i w:val="0"/>
          <w:caps w:val="0"/>
          <w:color w:val="auto"/>
          <w:spacing w:val="0"/>
          <w:sz w:val="32"/>
          <w:szCs w:val="32"/>
          <w:shd w:val="clear" w:color="auto" w:fill="FFFFFF"/>
          <w:lang w:eastAsia="zh-CN"/>
        </w:rPr>
        <w:t>信息</w:t>
      </w:r>
      <w:r>
        <w:rPr>
          <w:rFonts w:hint="eastAsia" w:ascii="仿宋" w:hAnsi="仿宋" w:eastAsia="仿宋" w:cs="仿宋"/>
          <w:i w:val="0"/>
          <w:caps w:val="0"/>
          <w:color w:val="auto"/>
          <w:spacing w:val="0"/>
          <w:sz w:val="32"/>
          <w:szCs w:val="32"/>
          <w:shd w:val="clear" w:color="auto" w:fill="FFFFFF"/>
        </w:rPr>
        <w:t>渠道通畅。系统梳理、及时更新本级机关制发的规范性文件，健全政府信息管理动态调整机制，对不予公开的政府信息进行定期评估审查。按照“放管服”改革要求及时立改废，将现行有效的政府规范性文件通过政府门户网站的政府信息公开专栏集中统一对外公开并动态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楷体" w:hAnsi="楷体" w:eastAsia="楷体" w:cs="楷体"/>
          <w:i w:val="0"/>
          <w:caps w:val="0"/>
          <w:color w:val="auto"/>
          <w:spacing w:val="0"/>
          <w:sz w:val="32"/>
          <w:szCs w:val="32"/>
          <w:shd w:val="clear" w:color="auto" w:fill="FFFFFF"/>
        </w:rPr>
        <w:t>（四）突出权威规范</w:t>
      </w:r>
      <w:r>
        <w:rPr>
          <w:rFonts w:hint="eastAsia" w:ascii="楷体" w:hAnsi="楷体" w:eastAsia="楷体" w:cs="楷体"/>
          <w:i w:val="0"/>
          <w:caps w:val="0"/>
          <w:color w:val="auto"/>
          <w:spacing w:val="0"/>
          <w:sz w:val="32"/>
          <w:szCs w:val="32"/>
          <w:shd w:val="clear" w:color="auto" w:fill="FFFFFF"/>
          <w:lang w:eastAsia="zh-CN"/>
        </w:rPr>
        <w:t>，</w:t>
      </w:r>
      <w:r>
        <w:rPr>
          <w:rFonts w:hint="eastAsia" w:ascii="楷体" w:hAnsi="楷体" w:eastAsia="楷体" w:cs="楷体"/>
          <w:i w:val="0"/>
          <w:caps w:val="0"/>
          <w:color w:val="auto"/>
          <w:spacing w:val="0"/>
          <w:sz w:val="32"/>
          <w:szCs w:val="32"/>
          <w:shd w:val="clear" w:color="auto" w:fill="FFFFFF"/>
        </w:rPr>
        <w:t>加强公开平台建设。</w:t>
      </w:r>
      <w:r>
        <w:rPr>
          <w:rFonts w:hint="eastAsia" w:ascii="仿宋" w:hAnsi="仿宋" w:eastAsia="仿宋" w:cs="仿宋"/>
          <w:i w:val="0"/>
          <w:caps w:val="0"/>
          <w:color w:val="auto"/>
          <w:spacing w:val="0"/>
          <w:sz w:val="32"/>
          <w:szCs w:val="32"/>
          <w:shd w:val="clear" w:color="auto" w:fill="FFFFFF"/>
        </w:rPr>
        <w:t>对照</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中华人民共和国政府信息公开条例》要求</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重新梳理法定主动公开内容，将已在政府网站上公开的信息内容进行归类展示，进一步规范政府信息公开专栏。提升政府网站集约化建设，推动政务公开、办事服务、政民互动等板块数据贯通，方便群众查阅。通过微信公众号等加大政务新媒体对政府权威信息的推送力度，实现权威发布、利企便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　　</w:t>
      </w:r>
      <w:r>
        <w:rPr>
          <w:rFonts w:hint="eastAsia" w:ascii="楷体" w:hAnsi="楷体" w:eastAsia="楷体" w:cs="楷体"/>
          <w:i w:val="0"/>
          <w:caps w:val="0"/>
          <w:color w:val="auto"/>
          <w:spacing w:val="0"/>
          <w:sz w:val="32"/>
          <w:szCs w:val="32"/>
          <w:shd w:val="clear" w:color="auto" w:fill="FFFFFF"/>
        </w:rPr>
        <w:t>（五）完善机制建设</w:t>
      </w:r>
      <w:r>
        <w:rPr>
          <w:rFonts w:hint="eastAsia" w:ascii="楷体" w:hAnsi="楷体" w:eastAsia="楷体" w:cs="楷体"/>
          <w:i w:val="0"/>
          <w:caps w:val="0"/>
          <w:color w:val="auto"/>
          <w:spacing w:val="0"/>
          <w:sz w:val="32"/>
          <w:szCs w:val="32"/>
          <w:shd w:val="clear" w:color="auto" w:fill="FFFFFF"/>
          <w:lang w:eastAsia="zh-CN"/>
        </w:rPr>
        <w:t>，</w:t>
      </w:r>
      <w:r>
        <w:rPr>
          <w:rFonts w:hint="eastAsia" w:ascii="楷体" w:hAnsi="楷体" w:eastAsia="楷体" w:cs="楷体"/>
          <w:i w:val="0"/>
          <w:caps w:val="0"/>
          <w:color w:val="auto"/>
          <w:spacing w:val="0"/>
          <w:sz w:val="32"/>
          <w:szCs w:val="32"/>
          <w:shd w:val="clear" w:color="auto" w:fill="FFFFFF"/>
        </w:rPr>
        <w:t>落实监督保障。</w:t>
      </w:r>
      <w:r>
        <w:rPr>
          <w:rFonts w:hint="eastAsia" w:ascii="仿宋" w:hAnsi="仿宋" w:eastAsia="仿宋" w:cs="仿宋"/>
          <w:i w:val="0"/>
          <w:caps w:val="0"/>
          <w:color w:val="auto"/>
          <w:spacing w:val="0"/>
          <w:sz w:val="32"/>
          <w:szCs w:val="32"/>
          <w:shd w:val="clear" w:color="auto" w:fill="FFFFFF"/>
        </w:rPr>
        <w:t>一是完善政务公开机制。建立健全平台内容发布审核制度，规范信息发布工作，加强日常监测，确保信息更新及时、内容准确权威。二是加大监督考核，强化责任追究。严格落实政务公开工作2021年度要点任务。落实工作通报管理机制，压实信息公开责任。2021年，我区政府信息公开工作自觉接受工作考核和社会评议，没有出现责任追究、违反有关法律法规、造成社会不良影响或严重后果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lang w:eastAsia="zh-CN"/>
        </w:rPr>
        <w:t>二、</w:t>
      </w:r>
      <w:r>
        <w:rPr>
          <w:rFonts w:hint="eastAsia" w:ascii="黑体" w:hAnsi="黑体" w:eastAsia="黑体" w:cs="黑体"/>
          <w:i w:val="0"/>
          <w:caps w:val="0"/>
          <w:color w:val="auto"/>
          <w:spacing w:val="0"/>
          <w:sz w:val="32"/>
          <w:szCs w:val="32"/>
          <w:shd w:val="clear" w:color="auto" w:fill="FFFFFF"/>
        </w:rPr>
        <w:t>行政机关主动公开政府信息情况</w:t>
      </w:r>
    </w:p>
    <w:tbl>
      <w:tblPr>
        <w:tblStyle w:val="6"/>
        <w:tblpPr w:leftFromText="180" w:rightFromText="180" w:vertAnchor="page" w:horzAnchor="page" w:tblpX="2864" w:tblpY="8275"/>
        <w:tblOverlap w:val="never"/>
        <w:tblW w:w="65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4"/>
        <w:gridCol w:w="1370"/>
        <w:gridCol w:w="1630"/>
        <w:gridCol w:w="2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593"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信息内容</w:t>
            </w:r>
          </w:p>
        </w:tc>
        <w:tc>
          <w:tcPr>
            <w:tcW w:w="137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本年制发件数</w:t>
            </w:r>
          </w:p>
        </w:tc>
        <w:tc>
          <w:tcPr>
            <w:tcW w:w="163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本年废止件数</w:t>
            </w:r>
          </w:p>
        </w:tc>
        <w:tc>
          <w:tcPr>
            <w:tcW w:w="207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规章</w:t>
            </w:r>
          </w:p>
        </w:tc>
        <w:tc>
          <w:tcPr>
            <w:tcW w:w="137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0</w:t>
            </w:r>
          </w:p>
        </w:tc>
        <w:tc>
          <w:tcPr>
            <w:tcW w:w="163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0</w:t>
            </w:r>
          </w:p>
        </w:tc>
        <w:tc>
          <w:tcPr>
            <w:tcW w:w="20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行政规范性文件</w:t>
            </w:r>
          </w:p>
        </w:tc>
        <w:tc>
          <w:tcPr>
            <w:tcW w:w="137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32</w:t>
            </w:r>
          </w:p>
        </w:tc>
        <w:tc>
          <w:tcPr>
            <w:tcW w:w="163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8</w:t>
            </w:r>
          </w:p>
        </w:tc>
        <w:tc>
          <w:tcPr>
            <w:tcW w:w="20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593"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信息内容</w:t>
            </w:r>
          </w:p>
        </w:tc>
        <w:tc>
          <w:tcPr>
            <w:tcW w:w="5079"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行政许可</w:t>
            </w:r>
          </w:p>
        </w:tc>
        <w:tc>
          <w:tcPr>
            <w:tcW w:w="5079"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37438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 w:hRule="atLeast"/>
        </w:trPr>
        <w:tc>
          <w:tcPr>
            <w:tcW w:w="6593"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信息内容</w:t>
            </w:r>
          </w:p>
        </w:tc>
        <w:tc>
          <w:tcPr>
            <w:tcW w:w="5079"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行政处罚</w:t>
            </w:r>
          </w:p>
        </w:tc>
        <w:tc>
          <w:tcPr>
            <w:tcW w:w="5079"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行政强制</w:t>
            </w:r>
          </w:p>
        </w:tc>
        <w:tc>
          <w:tcPr>
            <w:tcW w:w="5079"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593"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信息内容</w:t>
            </w:r>
          </w:p>
        </w:tc>
        <w:tc>
          <w:tcPr>
            <w:tcW w:w="5079"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151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行政事业性收费</w:t>
            </w:r>
          </w:p>
        </w:tc>
        <w:tc>
          <w:tcPr>
            <w:tcW w:w="5079"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0"/>
                <w:szCs w:val="20"/>
                <w:lang w:val="en-US" w:eastAsia="zh-CN" w:bidi="ar"/>
              </w:rPr>
              <w:t>2387.47225</w:t>
            </w:r>
          </w:p>
        </w:tc>
      </w:tr>
    </w:tbl>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ind w:firstLine="640" w:firstLineChars="200"/>
        <w:rPr>
          <w:rFonts w:hint="eastAsia" w:ascii="黑体" w:hAnsi="黑体" w:eastAsia="黑体" w:cs="黑体"/>
          <w:i w:val="0"/>
          <w:caps w:val="0"/>
          <w:color w:val="auto"/>
          <w:spacing w:val="0"/>
          <w:kern w:val="2"/>
          <w:sz w:val="32"/>
          <w:szCs w:val="32"/>
          <w:shd w:val="clear" w:color="auto" w:fill="FFFFFF"/>
          <w:lang w:val="en-US" w:eastAsia="zh-CN" w:bidi="ar-SA"/>
        </w:rPr>
      </w:pPr>
    </w:p>
    <w:p>
      <w:pPr>
        <w:numPr>
          <w:numId w:val="0"/>
        </w:numPr>
        <w:ind w:leftChars="200"/>
        <w:rPr>
          <w:rFonts w:hint="eastAsia" w:ascii="黑体" w:hAnsi="黑体" w:eastAsia="黑体" w:cs="黑体"/>
          <w:i w:val="0"/>
          <w:caps w:val="0"/>
          <w:color w:val="auto"/>
          <w:spacing w:val="0"/>
          <w:kern w:val="2"/>
          <w:sz w:val="32"/>
          <w:szCs w:val="32"/>
          <w:shd w:val="clear" w:color="auto" w:fill="FFFFFF"/>
          <w:lang w:val="en-US" w:eastAsia="zh-CN" w:bidi="ar-SA"/>
        </w:rPr>
      </w:pPr>
    </w:p>
    <w:p>
      <w:pPr>
        <w:numPr>
          <w:numId w:val="0"/>
        </w:numPr>
        <w:ind w:leftChars="200"/>
        <w:rPr>
          <w:rFonts w:hint="eastAsia" w:ascii="黑体" w:hAnsi="黑体" w:eastAsia="黑体" w:cs="黑体"/>
          <w:i w:val="0"/>
          <w:caps w:val="0"/>
          <w:color w:val="auto"/>
          <w:spacing w:val="0"/>
          <w:kern w:val="2"/>
          <w:sz w:val="32"/>
          <w:szCs w:val="32"/>
          <w:shd w:val="clear" w:color="auto" w:fill="FFFFFF"/>
          <w:lang w:val="en-US" w:eastAsia="zh-CN" w:bidi="ar-SA"/>
        </w:rPr>
      </w:pPr>
    </w:p>
    <w:p>
      <w:pPr>
        <w:numPr>
          <w:numId w:val="0"/>
        </w:numPr>
        <w:ind w:leftChars="200"/>
        <w:rPr>
          <w:rFonts w:hint="eastAsia" w:ascii="黑体" w:hAnsi="黑体" w:eastAsia="黑体" w:cs="黑体"/>
          <w:i w:val="0"/>
          <w:caps w:val="0"/>
          <w:color w:val="auto"/>
          <w:spacing w:val="0"/>
          <w:kern w:val="2"/>
          <w:sz w:val="32"/>
          <w:szCs w:val="32"/>
          <w:shd w:val="clear" w:color="auto" w:fill="FFFFFF"/>
          <w:lang w:val="en-US" w:eastAsia="zh-CN" w:bidi="ar-SA"/>
        </w:rPr>
      </w:pPr>
    </w:p>
    <w:p>
      <w:pPr>
        <w:numPr>
          <w:numId w:val="0"/>
        </w:numPr>
        <w:ind w:firstLine="640" w:firstLineChars="200"/>
        <w:rPr>
          <w:rFonts w:hint="eastAsia" w:ascii="黑体" w:hAnsi="黑体" w:eastAsia="黑体" w:cs="黑体"/>
          <w:i w:val="0"/>
          <w:caps w:val="0"/>
          <w:color w:val="auto"/>
          <w:spacing w:val="0"/>
          <w:kern w:val="2"/>
          <w:sz w:val="32"/>
          <w:szCs w:val="32"/>
          <w:shd w:val="clear" w:color="auto" w:fill="FFFFFF"/>
          <w:lang w:val="en-US" w:eastAsia="zh-CN" w:bidi="ar-SA"/>
        </w:rPr>
      </w:pPr>
      <w:bookmarkStart w:id="0" w:name="_GoBack"/>
      <w:bookmarkEnd w:id="0"/>
      <w:r>
        <w:rPr>
          <w:rFonts w:hint="eastAsia" w:ascii="黑体" w:hAnsi="黑体" w:eastAsia="黑体" w:cs="黑体"/>
          <w:i w:val="0"/>
          <w:caps w:val="0"/>
          <w:color w:val="auto"/>
          <w:spacing w:val="0"/>
          <w:kern w:val="2"/>
          <w:sz w:val="32"/>
          <w:szCs w:val="32"/>
          <w:shd w:val="clear" w:color="auto" w:fill="FFFFFF"/>
          <w:lang w:val="en-US" w:eastAsia="zh-CN" w:bidi="ar-SA"/>
        </w:rPr>
        <w:t>三、行政机关收到和处理政府信息公开申请情况</w:t>
      </w:r>
    </w:p>
    <w:p>
      <w:pPr>
        <w:widowControl w:val="0"/>
        <w:numPr>
          <w:numId w:val="0"/>
        </w:numPr>
        <w:jc w:val="both"/>
        <w:rPr>
          <w:rFonts w:hint="eastAsia" w:ascii="黑体" w:hAnsi="黑体" w:eastAsia="黑体" w:cs="黑体"/>
          <w:i w:val="0"/>
          <w:caps w:val="0"/>
          <w:color w:val="auto"/>
          <w:spacing w:val="0"/>
          <w:kern w:val="2"/>
          <w:sz w:val="32"/>
          <w:szCs w:val="32"/>
          <w:shd w:val="clear" w:color="auto" w:fill="FFFFFF"/>
          <w:lang w:val="en-US" w:eastAsia="zh-CN" w:bidi="ar-SA"/>
        </w:rPr>
      </w:pPr>
    </w:p>
    <w:p>
      <w:pPr>
        <w:widowControl w:val="0"/>
        <w:numPr>
          <w:numId w:val="0"/>
        </w:numPr>
        <w:jc w:val="both"/>
        <w:rPr>
          <w:rFonts w:hint="eastAsia" w:ascii="黑体" w:hAnsi="黑体" w:eastAsia="黑体" w:cs="黑体"/>
          <w:i w:val="0"/>
          <w:caps w:val="0"/>
          <w:color w:val="auto"/>
          <w:spacing w:val="0"/>
          <w:kern w:val="2"/>
          <w:sz w:val="32"/>
          <w:szCs w:val="32"/>
          <w:shd w:val="clear" w:color="auto" w:fill="FFFFFF"/>
          <w:lang w:val="en-US" w:eastAsia="zh-CN" w:bidi="ar-SA"/>
        </w:rPr>
      </w:pPr>
    </w:p>
    <w:tbl>
      <w:tblPr>
        <w:tblStyle w:val="6"/>
        <w:tblW w:w="80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1"/>
        <w:gridCol w:w="943"/>
        <w:gridCol w:w="2259"/>
        <w:gridCol w:w="600"/>
        <w:gridCol w:w="562"/>
        <w:gridCol w:w="600"/>
        <w:gridCol w:w="813"/>
        <w:gridCol w:w="687"/>
        <w:gridCol w:w="525"/>
        <w:gridCol w:w="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23"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（本列数据的勾稽关系为：第一项加第二项之和，等于第三项加第四项之和）</w:t>
            </w:r>
          </w:p>
        </w:tc>
        <w:tc>
          <w:tcPr>
            <w:tcW w:w="4362"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2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rPr>
            </w:pPr>
          </w:p>
        </w:tc>
        <w:tc>
          <w:tcPr>
            <w:tcW w:w="600"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自然人</w:t>
            </w:r>
          </w:p>
        </w:tc>
        <w:tc>
          <w:tcPr>
            <w:tcW w:w="3187"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法人或其他组织</w:t>
            </w:r>
          </w:p>
        </w:tc>
        <w:tc>
          <w:tcPr>
            <w:tcW w:w="575"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2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rPr>
            </w:pPr>
          </w:p>
        </w:tc>
        <w:tc>
          <w:tcPr>
            <w:tcW w:w="600" w:type="dxa"/>
            <w:vMerge w:val="continue"/>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企业</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机构</w:t>
            </w:r>
          </w:p>
        </w:tc>
        <w:tc>
          <w:tcPr>
            <w:tcW w:w="81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社会公益组织</w:t>
            </w:r>
          </w:p>
        </w:tc>
        <w:tc>
          <w:tcPr>
            <w:tcW w:w="687"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法律服务机构</w:t>
            </w:r>
          </w:p>
        </w:tc>
        <w:tc>
          <w:tcPr>
            <w:tcW w:w="5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其他</w:t>
            </w:r>
          </w:p>
        </w:tc>
        <w:tc>
          <w:tcPr>
            <w:tcW w:w="575"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一、本年新收政府信息公开申请数量</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13</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二、上年结转政府信息公开申请数量</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三、本年度办理结果</w:t>
            </w:r>
          </w:p>
        </w:tc>
        <w:tc>
          <w:tcPr>
            <w:tcW w:w="320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（一）予以公开</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4</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320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（二）部分公开（区分处理的，只计这一情形，不计其他情形）</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5</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（三）不予公开</w:t>
            </w: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1.属于国家秘密</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2.其他法律行政法规禁止公开</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3.危及“三安全一稳定”</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4.保护第三方合法权益</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5.属于三类内部事务信息</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6.属于四类过程性信息</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7.属于行政执法案卷</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8.属于行政查询事项</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（四）无法提供</w:t>
            </w: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1.本机关不掌握相关政府信息</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3</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2.没有现成信息需要另行制作</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3.补正后申请内容仍不明确</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1</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（五）不予处理</w:t>
            </w: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1.信访举报投诉类申请</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2.重复申请</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3.要求提供公开出版物</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4.无正当理由大量反复申请</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5.要求行政机关确认或重新出具已获取信息</w:t>
            </w:r>
          </w:p>
        </w:tc>
        <w:tc>
          <w:tcPr>
            <w:tcW w:w="60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（六）其他处理</w:t>
            </w:r>
          </w:p>
        </w:tc>
        <w:tc>
          <w:tcPr>
            <w:tcW w:w="225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1.申请人无正当理由逾期不补正、行政机关不再处理其政府信息公开申请</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2.申请人逾期未按收费通知要求缴纳费用、行政机关不再处理其政府信息公开申请</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225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3.其他</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仿宋" w:hAnsi="仿宋" w:eastAsia="仿宋" w:cs="仿宋"/>
                <w:color w:val="auto"/>
                <w:sz w:val="24"/>
                <w:szCs w:val="24"/>
              </w:rPr>
            </w:pPr>
          </w:p>
        </w:tc>
        <w:tc>
          <w:tcPr>
            <w:tcW w:w="320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（七）总计</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13</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四、结转下年度继续办理</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6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8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lang w:val="en-US"/>
              </w:rPr>
            </w:pPr>
            <w:r>
              <w:rPr>
                <w:rFonts w:hint="eastAsia" w:ascii="仿宋" w:hAnsi="仿宋" w:eastAsia="仿宋" w:cs="仿宋"/>
                <w:i w:val="0"/>
                <w:color w:val="auto"/>
                <w:kern w:val="0"/>
                <w:sz w:val="20"/>
                <w:szCs w:val="20"/>
                <w:u w:val="none"/>
                <w:lang w:val="en-US" w:eastAsia="zh-CN" w:bidi="ar"/>
              </w:rPr>
              <w:t>0</w:t>
            </w:r>
          </w:p>
        </w:tc>
        <w:tc>
          <w:tcPr>
            <w:tcW w:w="57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color w:val="auto"/>
                <w:kern w:val="0"/>
                <w:sz w:val="20"/>
                <w:szCs w:val="20"/>
                <w:u w:val="none"/>
                <w:lang w:val="en-US" w:eastAsia="zh-CN" w:bidi="ar"/>
              </w:rPr>
              <w:t>0</w:t>
            </w:r>
          </w:p>
        </w:tc>
      </w:tr>
    </w:tbl>
    <w:p>
      <w:pPr>
        <w:numPr>
          <w:ilvl w:val="0"/>
          <w:numId w:val="2"/>
        </w:numPr>
        <w:ind w:leftChars="200"/>
        <w:rPr>
          <w:rFonts w:hint="eastAsia" w:ascii="黑体" w:hAnsi="黑体" w:eastAsia="黑体" w:cs="黑体"/>
          <w:i w:val="0"/>
          <w:caps w:val="0"/>
          <w:color w:val="auto"/>
          <w:spacing w:val="0"/>
          <w:kern w:val="2"/>
          <w:sz w:val="32"/>
          <w:szCs w:val="32"/>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因政府信息公开工作被申请行政复议、提起行政诉讼</w:t>
      </w:r>
    </w:p>
    <w:p>
      <w:pPr>
        <w:numPr>
          <w:ilvl w:val="0"/>
          <w:numId w:val="0"/>
        </w:numPr>
        <w:rPr>
          <w:rFonts w:hint="eastAsia" w:ascii="黑体" w:hAnsi="黑体" w:eastAsia="黑体" w:cs="黑体"/>
          <w:i w:val="0"/>
          <w:caps w:val="0"/>
          <w:color w:val="auto"/>
          <w:spacing w:val="0"/>
          <w:kern w:val="2"/>
          <w:sz w:val="32"/>
          <w:szCs w:val="32"/>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情况</w:t>
      </w:r>
    </w:p>
    <w:tbl>
      <w:tblPr>
        <w:tblStyle w:val="6"/>
        <w:tblW w:w="90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99"/>
        <w:gridCol w:w="599"/>
        <w:gridCol w:w="600"/>
        <w:gridCol w:w="599"/>
        <w:gridCol w:w="599"/>
        <w:gridCol w:w="599"/>
        <w:gridCol w:w="599"/>
        <w:gridCol w:w="601"/>
        <w:gridCol w:w="600"/>
        <w:gridCol w:w="600"/>
        <w:gridCol w:w="601"/>
        <w:gridCol w:w="601"/>
        <w:gridCol w:w="601"/>
        <w:gridCol w:w="601"/>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99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行政复议</w:t>
            </w:r>
          </w:p>
        </w:tc>
        <w:tc>
          <w:tcPr>
            <w:tcW w:w="6004"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8" w:hRule="atLeast"/>
          <w:jc w:val="center"/>
        </w:trPr>
        <w:tc>
          <w:tcPr>
            <w:tcW w:w="59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结果维持</w:t>
            </w:r>
          </w:p>
        </w:tc>
        <w:tc>
          <w:tcPr>
            <w:tcW w:w="59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结果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其他</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结果</w:t>
            </w:r>
          </w:p>
        </w:tc>
        <w:tc>
          <w:tcPr>
            <w:tcW w:w="59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尚未</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审结</w:t>
            </w:r>
          </w:p>
        </w:tc>
        <w:tc>
          <w:tcPr>
            <w:tcW w:w="59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总计</w:t>
            </w:r>
          </w:p>
        </w:tc>
        <w:tc>
          <w:tcPr>
            <w:tcW w:w="299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未经复议直接起诉</w:t>
            </w:r>
          </w:p>
        </w:tc>
        <w:tc>
          <w:tcPr>
            <w:tcW w:w="300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7" w:hRule="atLeast"/>
          <w:jc w:val="center"/>
        </w:trPr>
        <w:tc>
          <w:tcPr>
            <w:tcW w:w="59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rPr>
            </w:pPr>
          </w:p>
        </w:tc>
        <w:tc>
          <w:tcPr>
            <w:tcW w:w="59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rPr>
            </w:pPr>
          </w:p>
        </w:tc>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结果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维持</w:t>
            </w:r>
          </w:p>
        </w:tc>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结果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纠正</w:t>
            </w:r>
          </w:p>
        </w:tc>
        <w:tc>
          <w:tcPr>
            <w:tcW w:w="60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其他</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结果</w:t>
            </w:r>
          </w:p>
        </w:tc>
        <w:tc>
          <w:tcPr>
            <w:tcW w:w="60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尚未</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审结</w:t>
            </w:r>
          </w:p>
        </w:tc>
        <w:tc>
          <w:tcPr>
            <w:tcW w:w="60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总计</w:t>
            </w:r>
          </w:p>
        </w:tc>
        <w:tc>
          <w:tcPr>
            <w:tcW w:w="60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结果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维持</w:t>
            </w:r>
          </w:p>
        </w:tc>
        <w:tc>
          <w:tcPr>
            <w:tcW w:w="60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结果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纠正</w:t>
            </w:r>
          </w:p>
        </w:tc>
        <w:tc>
          <w:tcPr>
            <w:tcW w:w="60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其他</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结果</w:t>
            </w:r>
          </w:p>
        </w:tc>
        <w:tc>
          <w:tcPr>
            <w:tcW w:w="60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尚未</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审结</w:t>
            </w:r>
          </w:p>
        </w:tc>
        <w:tc>
          <w:tcPr>
            <w:tcW w:w="60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atLeast"/>
          <w:jc w:val="center"/>
        </w:trPr>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lang w:val="en-US"/>
              </w:rPr>
            </w:pPr>
            <w:r>
              <w:rPr>
                <w:rFonts w:hint="eastAsia" w:ascii="仿宋" w:hAnsi="仿宋" w:eastAsia="仿宋" w:cs="仿宋"/>
                <w:color w:val="auto"/>
                <w:kern w:val="0"/>
                <w:sz w:val="20"/>
                <w:szCs w:val="20"/>
                <w:lang w:val="en-US" w:eastAsia="zh-CN" w:bidi="ar"/>
              </w:rPr>
              <w:t>1</w:t>
            </w:r>
          </w:p>
        </w:tc>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1</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59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60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2</w:t>
            </w:r>
          </w:p>
        </w:tc>
        <w:tc>
          <w:tcPr>
            <w:tcW w:w="60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60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60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60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0</w:t>
            </w:r>
          </w:p>
        </w:tc>
        <w:tc>
          <w:tcPr>
            <w:tcW w:w="60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i w:val="0"/>
          <w:caps w:val="0"/>
          <w:color w:val="auto"/>
          <w:spacing w:val="0"/>
          <w:kern w:val="2"/>
          <w:sz w:val="32"/>
          <w:szCs w:val="32"/>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五、政府信息公开工作存在的主要问题及改进情况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jc w:val="both"/>
        <w:textAlignment w:val="auto"/>
        <w:rPr>
          <w:rFonts w:hint="eastAsia" w:ascii="楷体" w:hAnsi="楷体" w:eastAsia="楷体" w:cs="楷体"/>
          <w:i w:val="0"/>
          <w:caps w:val="0"/>
          <w:color w:val="auto"/>
          <w:spacing w:val="0"/>
          <w:sz w:val="32"/>
          <w:szCs w:val="32"/>
          <w:shd w:val="clear" w:color="auto" w:fill="FFFFFF"/>
        </w:rPr>
      </w:pPr>
      <w:r>
        <w:rPr>
          <w:rFonts w:hint="eastAsia" w:ascii="楷体" w:hAnsi="楷体" w:eastAsia="楷体" w:cs="楷体"/>
          <w:i w:val="0"/>
          <w:caps w:val="0"/>
          <w:color w:val="auto"/>
          <w:spacing w:val="0"/>
          <w:sz w:val="32"/>
          <w:szCs w:val="32"/>
          <w:shd w:val="clear" w:color="auto" w:fill="FFFFFF"/>
        </w:rPr>
        <w:t>（一）存在的主要问题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rPr>
        <w:t>信息公开队伍建设有待进一步加强。区各级各部门工作机构人员多数是兼职承担政府信息公开工作，人员经常变动，工作任务重、事务多，标准化</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规范化开展信息公开工作存在一定的难度。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政府信息公开的质量水平还有待提高。重点领域的政府信息虽已按要求主动公开，但公开的范围仍然不够</w:t>
      </w:r>
      <w:r>
        <w:rPr>
          <w:rFonts w:hint="eastAsia" w:ascii="仿宋" w:hAnsi="仿宋" w:eastAsia="仿宋" w:cs="仿宋"/>
          <w:i w:val="0"/>
          <w:caps w:val="0"/>
          <w:color w:val="auto"/>
          <w:spacing w:val="0"/>
          <w:sz w:val="32"/>
          <w:szCs w:val="32"/>
          <w:shd w:val="clear" w:color="auto" w:fill="FFFFFF"/>
          <w:lang w:eastAsia="zh-CN"/>
        </w:rPr>
        <w:t>广泛</w:t>
      </w:r>
      <w:r>
        <w:rPr>
          <w:rFonts w:hint="eastAsia" w:ascii="仿宋" w:hAnsi="仿宋" w:eastAsia="仿宋" w:cs="仿宋"/>
          <w:i w:val="0"/>
          <w:caps w:val="0"/>
          <w:color w:val="auto"/>
          <w:spacing w:val="0"/>
          <w:sz w:val="32"/>
          <w:szCs w:val="32"/>
          <w:shd w:val="clear" w:color="auto" w:fill="FFFFFF"/>
        </w:rPr>
        <w:t>，主动公开的范围和内容仍需深化。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3.</w:t>
      </w:r>
      <w:r>
        <w:rPr>
          <w:rFonts w:hint="eastAsia" w:ascii="仿宋" w:hAnsi="仿宋" w:eastAsia="仿宋" w:cs="仿宋"/>
          <w:i w:val="0"/>
          <w:caps w:val="0"/>
          <w:color w:val="auto"/>
          <w:spacing w:val="0"/>
          <w:sz w:val="32"/>
          <w:szCs w:val="32"/>
          <w:shd w:val="clear" w:color="auto" w:fill="FFFFFF"/>
        </w:rPr>
        <w:t>依申请公开办理规范化有待进一步提高。个别单位因处理依申请公开不够及时、规范、准确，引起行政复议。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jc w:val="both"/>
        <w:textAlignment w:val="auto"/>
        <w:rPr>
          <w:rFonts w:hint="eastAsia" w:ascii="楷体" w:hAnsi="楷体" w:eastAsia="楷体" w:cs="楷体"/>
          <w:i w:val="0"/>
          <w:caps w:val="0"/>
          <w:color w:val="auto"/>
          <w:spacing w:val="0"/>
          <w:sz w:val="32"/>
          <w:szCs w:val="32"/>
          <w:shd w:val="clear" w:color="auto" w:fill="FFFFFF"/>
        </w:rPr>
      </w:pPr>
      <w:r>
        <w:rPr>
          <w:rFonts w:hint="eastAsia" w:ascii="楷体" w:hAnsi="楷体" w:eastAsia="楷体" w:cs="楷体"/>
          <w:i w:val="0"/>
          <w:caps w:val="0"/>
          <w:color w:val="auto"/>
          <w:spacing w:val="0"/>
          <w:sz w:val="32"/>
          <w:szCs w:val="32"/>
          <w:shd w:val="clear" w:color="auto" w:fill="FFFFFF"/>
        </w:rPr>
        <w:t>（二）改进措施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rPr>
        <w:t>主动适应新形势对新时代信息公开工作的新要求，进一步完善各项相关制度，明确任务分工，加强工作部署，严格责任落实，确保政府信息公开有序开展。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规范依申请公开工作，提升答复文书规范化水平。畅通线上、线下申请渠道，完善申请登记、审核、办理、答复和归档等办理制度，明确办理规则，提高答复效率，受理格式文本、程序规范。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sz w:val="32"/>
          <w:szCs w:val="32"/>
          <w:shd w:val="clear" w:color="auto" w:fill="FFFFFF"/>
          <w:lang w:val="en-US" w:eastAsia="zh-CN"/>
        </w:rPr>
        <w:t>3.</w:t>
      </w:r>
      <w:r>
        <w:rPr>
          <w:rFonts w:hint="eastAsia" w:ascii="仿宋" w:hAnsi="仿宋" w:eastAsia="仿宋" w:cs="仿宋"/>
          <w:i w:val="0"/>
          <w:caps w:val="0"/>
          <w:color w:val="auto"/>
          <w:spacing w:val="0"/>
          <w:sz w:val="32"/>
          <w:szCs w:val="32"/>
          <w:shd w:val="clear" w:color="auto" w:fill="FFFFFF"/>
        </w:rPr>
        <w:t>加大督查力度。及时开展政务公开工作督查，严格考评办法，定期检查考核，始终坚持把政务公开和政务服务工作纳入政府目标考核和效能建设考核范围，将考核结果纳入依法行政考核范畴。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caps w:val="0"/>
          <w:color w:val="auto"/>
          <w:spacing w:val="0"/>
          <w:kern w:val="2"/>
          <w:sz w:val="32"/>
          <w:szCs w:val="32"/>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569"/>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2021年，呼兰区政府无收取政府信息公开信息处理费情况。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569"/>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569"/>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569"/>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569"/>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569"/>
        <w:jc w:val="both"/>
        <w:textAlignment w:val="auto"/>
        <w:rPr>
          <w:rFonts w:hint="eastAsia" w:ascii="仿宋" w:hAnsi="仿宋" w:eastAsia="仿宋" w:cs="仿宋"/>
          <w:i w:val="0"/>
          <w:caps w:val="0"/>
          <w:color w:val="auto"/>
          <w:spacing w:val="0"/>
          <w:kern w:val="2"/>
          <w:sz w:val="32"/>
          <w:szCs w:val="32"/>
          <w:shd w:val="clear" w:color="auto" w:fill="FFFFFF"/>
          <w:lang w:val="en-US" w:eastAsia="zh-CN" w:bidi="ar-SA"/>
        </w:rPr>
      </w:pPr>
    </w:p>
    <w:p>
      <w:pPr>
        <w:numPr>
          <w:ilvl w:val="0"/>
          <w:numId w:val="0"/>
        </w:numPr>
        <w:rPr>
          <w:rFonts w:hint="eastAsia" w:ascii="仿宋" w:hAnsi="仿宋" w:eastAsia="仿宋" w:cs="仿宋"/>
          <w:i w:val="0"/>
          <w:caps w:val="0"/>
          <w:color w:val="auto"/>
          <w:spacing w:val="0"/>
          <w:kern w:val="2"/>
          <w:sz w:val="32"/>
          <w:szCs w:val="32"/>
          <w:shd w:val="clear" w:color="auto" w:fill="FFFFFF"/>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02009"/>
    <w:multiLevelType w:val="singleLevel"/>
    <w:tmpl w:val="A9F02009"/>
    <w:lvl w:ilvl="0" w:tentative="0">
      <w:start w:val="1"/>
      <w:numFmt w:val="chineseCounting"/>
      <w:suff w:val="nothing"/>
      <w:lvlText w:val="%1、"/>
      <w:lvlJc w:val="left"/>
      <w:rPr>
        <w:rFonts w:hint="eastAsia"/>
      </w:rPr>
    </w:lvl>
  </w:abstractNum>
  <w:abstractNum w:abstractNumId="1">
    <w:nsid w:val="B856443E"/>
    <w:multiLevelType w:val="singleLevel"/>
    <w:tmpl w:val="B856443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5679"/>
    <w:rsid w:val="18FF63C4"/>
    <w:rsid w:val="2BE665C0"/>
    <w:rsid w:val="2D250836"/>
    <w:rsid w:val="30702F01"/>
    <w:rsid w:val="3FCA606C"/>
    <w:rsid w:val="4E676A9A"/>
    <w:rsid w:val="53411999"/>
    <w:rsid w:val="56187196"/>
    <w:rsid w:val="5B1C40B8"/>
    <w:rsid w:val="66165679"/>
    <w:rsid w:val="734A1929"/>
    <w:rsid w:val="744E4F5C"/>
    <w:rsid w:val="75896D85"/>
    <w:rsid w:val="78514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2022-02-07T00:44:00Z</dcterms:created>
  <dc:creator>Administrator</dc:creator>
  <cp:lastModifiedBy>放肆  $   小女人</cp:lastModifiedBy>
  <cp:lastPrinted>2022-02-07T06:43:00Z</cp:lastPrinted>
  <dcterms:modified xsi:type="dcterms:W3CDTF">2022-02-16T10:08:45Z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3508BEDFB3E44B17BE8690A999CD81D1</vt:lpwstr>
  </property>
</Properties>
</file>