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呼兰区</w:t>
      </w:r>
      <w:r>
        <w:rPr>
          <w:rFonts w:hint="eastAsia" w:ascii="方正小标宋_GBK" w:hAnsi="方正小标宋_GBK" w:eastAsia="方正小标宋_GBK" w:cs="方正小标宋_GBK"/>
          <w:bCs/>
          <w:sz w:val="44"/>
          <w:szCs w:val="44"/>
        </w:rPr>
        <w:t>腰堡街道</w:t>
      </w:r>
      <w:r>
        <w:rPr>
          <w:rFonts w:hint="eastAsia" w:ascii="方正小标宋_GBK" w:hAnsi="方正小标宋_GBK" w:eastAsia="方正小标宋_GBK" w:cs="方正小标宋_GBK"/>
          <w:bCs/>
          <w:sz w:val="44"/>
          <w:szCs w:val="44"/>
          <w:lang w:val="en-US" w:eastAsia="zh-CN"/>
        </w:rPr>
        <w:t>办事处</w:t>
      </w:r>
      <w:r>
        <w:rPr>
          <w:rFonts w:hint="eastAsia" w:ascii="方正小标宋_GBK" w:hAnsi="方正小标宋_GBK" w:eastAsia="方正小标宋_GBK" w:cs="方正小标宋_GBK"/>
          <w:sz w:val="44"/>
          <w:szCs w:val="44"/>
        </w:rPr>
        <w:t>2023年</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年度报告根据《中华人民共和国政府信息公开条例》（以下简称《条例》）和《国务院办公厅政府信息与政务公开办公室关于印发中华人民共和国政府信息公开工作年度报告格式的通知》（国办公开办函〔2021〕30号）相关要求编制而成。报告中所列数据统计期限自2023年1月1日起至2023年12月31日止。本年度报告的电子版可通过呼兰区人民政府门户网站→政务公开栏目→政府信息公开年报专栏→乡镇街道政府信息公开年度报告查阅下载（http://www.hul</w:t>
      </w:r>
      <w:bookmarkStart w:id="0" w:name="_GoBack"/>
      <w:bookmarkEnd w:id="0"/>
      <w:r>
        <w:rPr>
          <w:rFonts w:hint="eastAsia" w:ascii="仿宋" w:hAnsi="仿宋" w:eastAsia="仿宋" w:cs="仿宋"/>
          <w:sz w:val="32"/>
          <w:szCs w:val="32"/>
          <w:lang w:val="en-US" w:eastAsia="zh-CN"/>
        </w:rPr>
        <w:t>an.gov.cn/hebhlq/sy.shtml）如对本报告有疑问，请联系哈尔滨市呼兰区腰堡街道办事处，地址：哈尔滨市呼兰区腰堡街道腰堡村。邮编：150500。电话：0451-57391010。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2312" w:hAnsi="方正仿宋_GB2312" w:eastAsia="方正仿宋_GB2312" w:cs="方正仿宋_GB2312"/>
          <w:sz w:val="32"/>
          <w:szCs w:val="32"/>
        </w:rPr>
      </w:pPr>
      <w:r>
        <w:rPr>
          <w:rFonts w:hint="eastAsia" w:ascii="黑体" w:hAnsi="黑体" w:eastAsia="黑体" w:cs="黑体"/>
          <w:sz w:val="32"/>
          <w:szCs w:val="32"/>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（一）主动公开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腰堡街道高度重视政府信息公开机制建设，按照上级信息公开工作要求，进一步加强政府信息公开人事力量，专门成立信息公开领导小组并配备了1名主要兼职工作人员和其他2名从事政府信息公开的工作人员。拓展政府信息公开形式。积极探索并实行各种方便群众查阅、了解信息的公开方式。截至2023年底，本单位政府信息公开工作运行一切正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（二）依申请公开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2023年度我处未收到政府信息公开申请。</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Chars="0"/>
        <w:textAlignment w:val="auto"/>
        <w:rPr>
          <w:rFonts w:hint="eastAsia" w:ascii="楷体" w:hAnsi="楷体" w:eastAsia="楷体" w:cs="楷体"/>
          <w:sz w:val="32"/>
          <w:szCs w:val="32"/>
        </w:rPr>
      </w:pPr>
      <w:r>
        <w:rPr>
          <w:rFonts w:hint="eastAsia" w:ascii="楷体" w:hAnsi="楷体" w:eastAsia="楷体" w:cs="楷体"/>
          <w:sz w:val="32"/>
          <w:szCs w:val="32"/>
        </w:rPr>
        <w:t>政府信息管理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实行单位主要负责人审查制度，严格审查公开内容，杜绝实施过程中的随意行为，提高政府信息公开制度的整体效果，细化信息公开事项，加强制度保障。</w:t>
      </w:r>
    </w:p>
    <w:p>
      <w:pPr>
        <w:pStyle w:val="12"/>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（四）政府信息公开平台建设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面把握政府信息公开的主体、范围、内容、形式和程序，将政府信息公开工作与日常的信息工作、电子政务工作相结合，进一步增强政府信息公开实效，传递政策意图，积极回应社会关切和公众期盼，提高透明度，有效保障人民群众的知情权、参与权和监督权。</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监督保障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（1）进一步完善内部信息公开工作。制定工作流程，严格遵循内部审查秩序，按照相应的行程程序作出政务信息公开处理及答复。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进一步强化组织保障。落实政务公开工作要求，及时调整政府信息公开工作领导小组成员，主要领导担任领导小组组长，分管领导具体负责政务信息公开工作，安排专人负责具体的信息发布工作及联络工作。</w:t>
      </w:r>
    </w:p>
    <w:p>
      <w:pPr>
        <w:numPr>
          <w:ilvl w:val="0"/>
          <w:numId w:val="3"/>
        </w:numPr>
        <w:tabs>
          <w:tab w:val="left" w:pos="1236"/>
        </w:tabs>
        <w:spacing w:line="600" w:lineRule="exact"/>
        <w:ind w:firstLine="20"/>
        <w:rPr>
          <w:rFonts w:ascii="方正仿宋_GB2312" w:hAnsi="方正仿宋_GB2312" w:eastAsia="方正仿宋_GB2312" w:cs="方正仿宋_GB2312"/>
          <w:color w:val="C00000"/>
          <w:sz w:val="32"/>
          <w:szCs w:val="32"/>
        </w:rPr>
      </w:pPr>
      <w:r>
        <w:rPr>
          <w:rFonts w:hint="eastAsia" w:ascii="黑体" w:hAnsi="黑体" w:eastAsia="黑体" w:cs="黑体"/>
          <w:sz w:val="32"/>
          <w:szCs w:val="32"/>
        </w:rPr>
        <w:t>主动公开政府信息情况</w:t>
      </w:r>
    </w:p>
    <w:tbl>
      <w:tblPr>
        <w:tblStyle w:val="4"/>
        <w:tblpPr w:leftFromText="180" w:rightFromText="180" w:vertAnchor="text" w:horzAnchor="page" w:tblpX="1556" w:tblpY="8"/>
        <w:tblOverlap w:val="never"/>
        <w:tblW w:w="9095" w:type="dxa"/>
        <w:jc w:val="center"/>
        <w:tblLayout w:type="autofit"/>
        <w:tblCellMar>
          <w:top w:w="0" w:type="dxa"/>
          <w:left w:w="108" w:type="dxa"/>
          <w:bottom w:w="0" w:type="dxa"/>
          <w:right w:w="108" w:type="dxa"/>
        </w:tblCellMar>
      </w:tblPr>
      <w:tblGrid>
        <w:gridCol w:w="2273"/>
        <w:gridCol w:w="2274"/>
        <w:gridCol w:w="2274"/>
        <w:gridCol w:w="2274"/>
      </w:tblGrid>
      <w:tr>
        <w:tblPrEx>
          <w:tblCellMar>
            <w:top w:w="0" w:type="dxa"/>
            <w:left w:w="108" w:type="dxa"/>
            <w:bottom w:w="0" w:type="dxa"/>
            <w:right w:w="108" w:type="dxa"/>
          </w:tblCellMar>
        </w:tblPrEx>
        <w:trPr>
          <w:trHeight w:val="349" w:hRule="exact"/>
          <w:jc w:val="center"/>
        </w:trPr>
        <w:tc>
          <w:tcPr>
            <w:tcW w:w="9095"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第二十条第（一）项</w:t>
            </w:r>
          </w:p>
        </w:tc>
      </w:tr>
      <w:tr>
        <w:tblPrEx>
          <w:tblCellMar>
            <w:top w:w="0" w:type="dxa"/>
            <w:left w:w="108" w:type="dxa"/>
            <w:bottom w:w="0" w:type="dxa"/>
            <w:right w:w="108" w:type="dxa"/>
          </w:tblCellMar>
        </w:tblPrEx>
        <w:trPr>
          <w:trHeight w:val="349" w:hRule="exact"/>
          <w:jc w:val="center"/>
        </w:trPr>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信息内容</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本年制发件数</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本年废止件数</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现行有效件数</w:t>
            </w:r>
          </w:p>
        </w:tc>
      </w:tr>
      <w:tr>
        <w:tblPrEx>
          <w:tblCellMar>
            <w:top w:w="0" w:type="dxa"/>
            <w:left w:w="108" w:type="dxa"/>
            <w:bottom w:w="0" w:type="dxa"/>
            <w:right w:w="108" w:type="dxa"/>
          </w:tblCellMar>
        </w:tblPrEx>
        <w:trPr>
          <w:trHeight w:val="300" w:hRule="exact"/>
          <w:jc w:val="center"/>
        </w:trPr>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规章</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hint="eastAsia" w:asciiTheme="minorEastAsia" w:hAnsiTheme="minorEastAsia" w:eastAsiaTheme="minorEastAsia" w:cstheme="minorEastAsia"/>
                <w:sz w:val="20"/>
                <w:szCs w:val="20"/>
                <w:lang w:eastAsia="zh-CN"/>
              </w:rPr>
            </w:pPr>
            <w:r>
              <w:rPr>
                <w:rFonts w:hint="eastAsia" w:asciiTheme="minorEastAsia" w:hAnsiTheme="minorEastAsia" w:cstheme="minorEastAsia"/>
                <w:sz w:val="20"/>
                <w:szCs w:val="20"/>
                <w:lang w:val="en-US" w:eastAsia="zh-CN"/>
              </w:rPr>
              <w:t>0</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hint="eastAsia" w:asciiTheme="minorEastAsia" w:hAnsiTheme="minorEastAsia" w:eastAsiaTheme="minorEastAsia" w:cstheme="minorEastAsia"/>
                <w:sz w:val="20"/>
                <w:szCs w:val="20"/>
                <w:lang w:eastAsia="zh-CN"/>
              </w:rPr>
            </w:pPr>
            <w:r>
              <w:rPr>
                <w:rFonts w:hint="eastAsia" w:asciiTheme="minorEastAsia" w:hAnsiTheme="minorEastAsia" w:cstheme="minorEastAsia"/>
                <w:sz w:val="20"/>
                <w:szCs w:val="20"/>
                <w:lang w:val="en-US" w:eastAsia="zh-CN"/>
              </w:rPr>
              <w:t>0</w:t>
            </w:r>
          </w:p>
        </w:tc>
      </w:tr>
      <w:tr>
        <w:tblPrEx>
          <w:tblCellMar>
            <w:top w:w="0" w:type="dxa"/>
            <w:left w:w="108" w:type="dxa"/>
            <w:bottom w:w="0" w:type="dxa"/>
            <w:right w:w="108" w:type="dxa"/>
          </w:tblCellMar>
        </w:tblPrEx>
        <w:trPr>
          <w:trHeight w:val="349" w:hRule="exact"/>
          <w:jc w:val="center"/>
        </w:trPr>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行政规范性文件</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49" w:hRule="exact"/>
          <w:jc w:val="center"/>
        </w:trPr>
        <w:tc>
          <w:tcPr>
            <w:tcW w:w="9095"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第二十条第（五）项</w:t>
            </w:r>
          </w:p>
        </w:tc>
      </w:tr>
      <w:tr>
        <w:tblPrEx>
          <w:tblCellMar>
            <w:top w:w="0" w:type="dxa"/>
            <w:left w:w="108" w:type="dxa"/>
            <w:bottom w:w="0" w:type="dxa"/>
            <w:right w:w="108" w:type="dxa"/>
          </w:tblCellMar>
        </w:tblPrEx>
        <w:trPr>
          <w:trHeight w:val="349" w:hRule="exact"/>
          <w:jc w:val="center"/>
        </w:trPr>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信息内容</w:t>
            </w:r>
          </w:p>
        </w:tc>
        <w:tc>
          <w:tcPr>
            <w:tcW w:w="68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本年处理决定数量</w:t>
            </w:r>
          </w:p>
        </w:tc>
      </w:tr>
      <w:tr>
        <w:tblPrEx>
          <w:tblCellMar>
            <w:top w:w="0" w:type="dxa"/>
            <w:left w:w="108" w:type="dxa"/>
            <w:bottom w:w="0" w:type="dxa"/>
            <w:right w:w="108" w:type="dxa"/>
          </w:tblCellMar>
        </w:tblPrEx>
        <w:trPr>
          <w:trHeight w:val="349" w:hRule="exact"/>
          <w:jc w:val="center"/>
        </w:trPr>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行政许可</w:t>
            </w:r>
          </w:p>
        </w:tc>
        <w:tc>
          <w:tcPr>
            <w:tcW w:w="68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49" w:hRule="exact"/>
          <w:jc w:val="center"/>
        </w:trPr>
        <w:tc>
          <w:tcPr>
            <w:tcW w:w="9095"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第二十条第（六）项</w:t>
            </w:r>
          </w:p>
        </w:tc>
      </w:tr>
      <w:tr>
        <w:tblPrEx>
          <w:tblCellMar>
            <w:top w:w="0" w:type="dxa"/>
            <w:left w:w="108" w:type="dxa"/>
            <w:bottom w:w="0" w:type="dxa"/>
            <w:right w:w="108" w:type="dxa"/>
          </w:tblCellMar>
        </w:tblPrEx>
        <w:trPr>
          <w:trHeight w:val="349" w:hRule="exact"/>
          <w:jc w:val="center"/>
        </w:trPr>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信息内容</w:t>
            </w:r>
          </w:p>
        </w:tc>
        <w:tc>
          <w:tcPr>
            <w:tcW w:w="68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本年处理决定数量</w:t>
            </w:r>
          </w:p>
        </w:tc>
      </w:tr>
      <w:tr>
        <w:tblPrEx>
          <w:tblCellMar>
            <w:top w:w="0" w:type="dxa"/>
            <w:left w:w="108" w:type="dxa"/>
            <w:bottom w:w="0" w:type="dxa"/>
            <w:right w:w="108" w:type="dxa"/>
          </w:tblCellMar>
        </w:tblPrEx>
        <w:trPr>
          <w:trHeight w:val="349" w:hRule="exact"/>
          <w:jc w:val="center"/>
        </w:trPr>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行政处罚</w:t>
            </w:r>
          </w:p>
        </w:tc>
        <w:tc>
          <w:tcPr>
            <w:tcW w:w="68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49" w:hRule="exact"/>
          <w:jc w:val="center"/>
        </w:trPr>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行政强制</w:t>
            </w:r>
          </w:p>
        </w:tc>
        <w:tc>
          <w:tcPr>
            <w:tcW w:w="68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49" w:hRule="exact"/>
          <w:jc w:val="center"/>
        </w:trPr>
        <w:tc>
          <w:tcPr>
            <w:tcW w:w="9095" w:type="dxa"/>
            <w:gridSpan w:val="4"/>
            <w:tcBorders>
              <w:top w:val="single" w:color="000000" w:sz="4" w:space="0"/>
              <w:left w:val="single" w:color="000000" w:sz="4" w:space="0"/>
              <w:bottom w:val="single" w:color="000000" w:sz="4" w:space="0"/>
              <w:right w:val="single" w:color="000000" w:sz="4" w:space="0"/>
            </w:tcBorders>
            <w:shd w:val="clear" w:color="auto" w:fill="99CCFF"/>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第二十条第（八）项</w:t>
            </w:r>
          </w:p>
        </w:tc>
      </w:tr>
      <w:tr>
        <w:tblPrEx>
          <w:tblCellMar>
            <w:top w:w="0" w:type="dxa"/>
            <w:left w:w="108" w:type="dxa"/>
            <w:bottom w:w="0" w:type="dxa"/>
            <w:right w:w="108" w:type="dxa"/>
          </w:tblCellMar>
        </w:tblPrEx>
        <w:trPr>
          <w:trHeight w:val="349" w:hRule="exact"/>
          <w:jc w:val="center"/>
        </w:trPr>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信息内容</w:t>
            </w:r>
          </w:p>
        </w:tc>
        <w:tc>
          <w:tcPr>
            <w:tcW w:w="68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本年收费金额（单位：万元）</w:t>
            </w:r>
          </w:p>
        </w:tc>
      </w:tr>
      <w:tr>
        <w:tblPrEx>
          <w:tblCellMar>
            <w:top w:w="0" w:type="dxa"/>
            <w:left w:w="108" w:type="dxa"/>
            <w:bottom w:w="0" w:type="dxa"/>
            <w:right w:w="108" w:type="dxa"/>
          </w:tblCellMar>
        </w:tblPrEx>
        <w:trPr>
          <w:trHeight w:val="349" w:hRule="exact"/>
          <w:jc w:val="center"/>
        </w:trPr>
        <w:tc>
          <w:tcPr>
            <w:tcW w:w="2273"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行政事业性收费</w:t>
            </w:r>
          </w:p>
        </w:tc>
        <w:tc>
          <w:tcPr>
            <w:tcW w:w="68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6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bl>
    <w:p>
      <w:pPr>
        <w:numPr>
          <w:ilvl w:val="0"/>
          <w:numId w:val="0"/>
        </w:numPr>
        <w:ind w:firstLine="320" w:firstLineChars="100"/>
        <w:rPr>
          <w:rFonts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收到和处理政府信息公开申请情况</w:t>
      </w:r>
    </w:p>
    <w:tbl>
      <w:tblPr>
        <w:tblStyle w:val="4"/>
        <w:tblW w:w="9705" w:type="dxa"/>
        <w:jc w:val="center"/>
        <w:tblLayout w:type="autofit"/>
        <w:tblCellMar>
          <w:top w:w="0" w:type="dxa"/>
          <w:left w:w="108" w:type="dxa"/>
          <w:bottom w:w="0" w:type="dxa"/>
          <w:right w:w="108" w:type="dxa"/>
        </w:tblCellMar>
      </w:tblPr>
      <w:tblGrid>
        <w:gridCol w:w="785"/>
        <w:gridCol w:w="940"/>
        <w:gridCol w:w="2520"/>
        <w:gridCol w:w="840"/>
        <w:gridCol w:w="737"/>
        <w:gridCol w:w="748"/>
        <w:gridCol w:w="825"/>
        <w:gridCol w:w="810"/>
        <w:gridCol w:w="720"/>
        <w:gridCol w:w="780"/>
      </w:tblGrid>
      <w:tr>
        <w:tblPrEx>
          <w:tblCellMar>
            <w:top w:w="0" w:type="dxa"/>
            <w:left w:w="108" w:type="dxa"/>
            <w:bottom w:w="0" w:type="dxa"/>
            <w:right w:w="108" w:type="dxa"/>
          </w:tblCellMar>
        </w:tblPrEx>
        <w:trPr>
          <w:trHeight w:val="306" w:hRule="atLeast"/>
          <w:jc w:val="center"/>
        </w:trPr>
        <w:tc>
          <w:tcPr>
            <w:tcW w:w="424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（本列数据的勾稽关系为：第一项加第二项之和，等于第三项加第四项之和）</w:t>
            </w:r>
          </w:p>
        </w:tc>
        <w:tc>
          <w:tcPr>
            <w:tcW w:w="54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申请人情况</w:t>
            </w:r>
          </w:p>
        </w:tc>
      </w:tr>
      <w:tr>
        <w:tblPrEx>
          <w:tblCellMar>
            <w:top w:w="0" w:type="dxa"/>
            <w:left w:w="108" w:type="dxa"/>
            <w:bottom w:w="0" w:type="dxa"/>
            <w:right w:w="108" w:type="dxa"/>
          </w:tblCellMar>
        </w:tblPrEx>
        <w:trPr>
          <w:trHeight w:val="306"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自然人</w:t>
            </w:r>
          </w:p>
        </w:tc>
        <w:tc>
          <w:tcPr>
            <w:tcW w:w="3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法人或其他组织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总计</w:t>
            </w:r>
          </w:p>
        </w:tc>
      </w:tr>
      <w:tr>
        <w:tblPrEx>
          <w:tblCellMar>
            <w:top w:w="0" w:type="dxa"/>
            <w:left w:w="108" w:type="dxa"/>
            <w:bottom w:w="0" w:type="dxa"/>
            <w:right w:w="108" w:type="dxa"/>
          </w:tblCellMar>
        </w:tblPrEx>
        <w:trPr>
          <w:trHeight w:val="592" w:hRule="atLeast"/>
          <w:jc w:val="center"/>
        </w:trPr>
        <w:tc>
          <w:tcPr>
            <w:tcW w:w="424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737" w:type="dxa"/>
            <w:tcBorders>
              <w:top w:val="single" w:color="000000" w:sz="4" w:space="0"/>
              <w:left w:val="single" w:color="000000" w:sz="4" w:space="0"/>
              <w:right w:val="single" w:color="000000" w:sz="4" w:space="0"/>
            </w:tcBorders>
            <w:shd w:val="clear" w:color="auto" w:fill="auto"/>
            <w:vAlign w:val="center"/>
          </w:tcPr>
          <w:p>
            <w:pPr>
              <w:snapToGrid w:val="0"/>
              <w:spacing w:line="280" w:lineRule="exact"/>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商业</w:t>
            </w:r>
          </w:p>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企业</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科研</w:t>
            </w:r>
          </w:p>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机构</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社会</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公益</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组织</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法律</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服务</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机构</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其他</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r>
      <w:tr>
        <w:tblPrEx>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一、本年新收政府信息公开申请数量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二、上年结转政府信息公开申请数量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785"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snapToGrid w:val="0"/>
              <w:spacing w:line="280" w:lineRule="exact"/>
              <w:jc w:val="right"/>
              <w:rPr>
                <w:rFonts w:asciiTheme="minorEastAsia" w:hAnsiTheme="minorEastAsia" w:cstheme="minorEastAsia"/>
                <w:sz w:val="20"/>
                <w:szCs w:val="20"/>
              </w:rPr>
            </w:pPr>
            <w:r>
              <w:rPr>
                <w:rFonts w:hint="eastAsia" w:asciiTheme="minorEastAsia" w:hAnsiTheme="minorEastAsia" w:cstheme="minorEastAsia"/>
                <w:sz w:val="20"/>
                <w:szCs w:val="20"/>
              </w:rPr>
              <w:t xml:space="preserve">                      三、本年度办理结果</w:t>
            </w:r>
          </w:p>
        </w:tc>
        <w:tc>
          <w:tcPr>
            <w:tcW w:w="3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（一）予以公开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3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（二）部分公开（区分处理的，只计这一情形，不计其他情形）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（三）不予公开</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1.属于国家秘密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2.其他法律行政法规禁止公开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3.危及“三安全一稳定”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4.保护第三方合法权益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5.属于三类内部事务信息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6.属于四类过程性信息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7.属于行政执法案卷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8.属于行政查询事项</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（四）无法提供</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1.本机关不掌握相关政府信息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2.没有现成信息需要另行制作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3.补正后申请内容仍不明确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（五）不予处理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1.信访举报投诉类申请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2.重复申请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3.要求提供公开出版物</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4.无正当理由大量反复申请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5.要求行政机关确认或重新出具已获取信息</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9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（六）其他处理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1.申请人无正当理由逾期不补正、行政机关不再处理其政府信息公开申请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2.申请人逾期未按收费通知要求缴纳费用、行政机关不再处理其政府信息公开申请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left"/>
              <w:rPr>
                <w:rFonts w:asciiTheme="minorEastAsia" w:hAnsiTheme="minorEastAsia" w:cstheme="minorEastAsia"/>
                <w:sz w:val="20"/>
                <w:szCs w:val="20"/>
              </w:rPr>
            </w:pPr>
            <w:r>
              <w:rPr>
                <w:rFonts w:hint="eastAsia" w:asciiTheme="minorEastAsia" w:hAnsiTheme="minorEastAsia" w:cstheme="minorEastAsia"/>
                <w:sz w:val="20"/>
                <w:szCs w:val="20"/>
              </w:rPr>
              <w:t>3.其他</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p>
        </w:tc>
        <w:tc>
          <w:tcPr>
            <w:tcW w:w="34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（七）总计</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r>
        <w:tblPrEx>
          <w:tblCellMar>
            <w:top w:w="0" w:type="dxa"/>
            <w:left w:w="108" w:type="dxa"/>
            <w:bottom w:w="0" w:type="dxa"/>
            <w:right w:w="108" w:type="dxa"/>
          </w:tblCellMar>
        </w:tblPrEx>
        <w:trPr>
          <w:trHeight w:val="306" w:hRule="atLeast"/>
          <w:jc w:val="center"/>
        </w:trPr>
        <w:tc>
          <w:tcPr>
            <w:tcW w:w="42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四、结转下年度继续办理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spacing w:line="280" w:lineRule="exact"/>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bl>
    <w:p>
      <w:pPr>
        <w:ind w:left="640"/>
        <w:rPr>
          <w:rFonts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4"/>
        <w:tblW w:w="9599" w:type="dxa"/>
        <w:jc w:val="center"/>
        <w:tblLayout w:type="autofit"/>
        <w:tblCellMar>
          <w:top w:w="0" w:type="dxa"/>
          <w:left w:w="108" w:type="dxa"/>
          <w:bottom w:w="0" w:type="dxa"/>
          <w:right w:w="108" w:type="dxa"/>
        </w:tblCellMar>
      </w:tblPr>
      <w:tblGrid>
        <w:gridCol w:w="693"/>
        <w:gridCol w:w="636"/>
        <w:gridCol w:w="636"/>
        <w:gridCol w:w="636"/>
        <w:gridCol w:w="637"/>
        <w:gridCol w:w="636"/>
        <w:gridCol w:w="636"/>
        <w:gridCol w:w="636"/>
        <w:gridCol w:w="636"/>
        <w:gridCol w:w="636"/>
        <w:gridCol w:w="636"/>
        <w:gridCol w:w="636"/>
        <w:gridCol w:w="636"/>
        <w:gridCol w:w="636"/>
        <w:gridCol w:w="637"/>
      </w:tblGrid>
      <w:tr>
        <w:tblPrEx>
          <w:tblCellMar>
            <w:top w:w="0" w:type="dxa"/>
            <w:left w:w="108" w:type="dxa"/>
            <w:bottom w:w="0" w:type="dxa"/>
            <w:right w:w="108" w:type="dxa"/>
          </w:tblCellMar>
        </w:tblPrEx>
        <w:trPr>
          <w:trHeight w:val="245" w:hRule="atLeast"/>
          <w:jc w:val="center"/>
        </w:trPr>
        <w:tc>
          <w:tcPr>
            <w:tcW w:w="32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行政复议</w:t>
            </w:r>
          </w:p>
        </w:tc>
        <w:tc>
          <w:tcPr>
            <w:tcW w:w="636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行政诉讼</w:t>
            </w:r>
          </w:p>
        </w:tc>
      </w:tr>
      <w:tr>
        <w:tblPrEx>
          <w:tblCellMar>
            <w:top w:w="0" w:type="dxa"/>
            <w:left w:w="108" w:type="dxa"/>
            <w:bottom w:w="0" w:type="dxa"/>
            <w:right w:w="108" w:type="dxa"/>
          </w:tblCellMar>
        </w:tblPrEx>
        <w:trPr>
          <w:trHeight w:val="312" w:hRule="atLeast"/>
          <w:jc w:val="center"/>
        </w:trPr>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结</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果</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维</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结</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果</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纠</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其</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他</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结</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尚</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未</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审</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结</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总</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计</w:t>
            </w:r>
          </w:p>
        </w:tc>
        <w:tc>
          <w:tcPr>
            <w:tcW w:w="3180"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未经复议直接起诉</w:t>
            </w:r>
          </w:p>
        </w:tc>
        <w:tc>
          <w:tcPr>
            <w:tcW w:w="3181"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复议后起诉</w:t>
            </w:r>
          </w:p>
        </w:tc>
      </w:tr>
      <w:tr>
        <w:tblPrEx>
          <w:tblCellMar>
            <w:top w:w="0" w:type="dxa"/>
            <w:left w:w="108" w:type="dxa"/>
            <w:bottom w:w="0" w:type="dxa"/>
            <w:right w:w="108" w:type="dxa"/>
          </w:tblCellMar>
        </w:tblPrEx>
        <w:trPr>
          <w:trHeight w:val="312"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31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318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r>
      <w:tr>
        <w:tblPrEx>
          <w:tblCellMar>
            <w:top w:w="0" w:type="dxa"/>
            <w:left w:w="108" w:type="dxa"/>
            <w:bottom w:w="0" w:type="dxa"/>
            <w:right w:w="108" w:type="dxa"/>
          </w:tblCellMar>
        </w:tblPrEx>
        <w:trPr>
          <w:trHeight w:val="312"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3180"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3181"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r>
      <w:tr>
        <w:tblPrEx>
          <w:tblCellMar>
            <w:top w:w="0" w:type="dxa"/>
            <w:left w:w="108" w:type="dxa"/>
            <w:bottom w:w="0" w:type="dxa"/>
            <w:right w:w="108" w:type="dxa"/>
          </w:tblCellMar>
        </w:tblPrEx>
        <w:trPr>
          <w:trHeight w:val="312"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结</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果</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维</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结</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果</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纠</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其</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他</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结</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尚</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未</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审</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结</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总</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计</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结</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果</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维</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持</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结</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果</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纠</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正</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其</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他</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结</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果</w:t>
            </w:r>
          </w:p>
        </w:tc>
        <w:tc>
          <w:tcPr>
            <w:tcW w:w="6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尚</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未</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审</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结</w:t>
            </w:r>
          </w:p>
        </w:tc>
        <w:tc>
          <w:tcPr>
            <w:tcW w:w="6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总</w:t>
            </w:r>
            <w:r>
              <w:rPr>
                <w:rFonts w:hint="eastAsia" w:asciiTheme="minorEastAsia" w:hAnsiTheme="minorEastAsia" w:cstheme="minorEastAsia"/>
                <w:sz w:val="20"/>
                <w:szCs w:val="20"/>
              </w:rPr>
              <w:br w:type="textWrapping"/>
            </w:r>
            <w:r>
              <w:rPr>
                <w:rFonts w:hint="eastAsia" w:asciiTheme="minorEastAsia" w:hAnsiTheme="minorEastAsia" w:cstheme="minorEastAsia"/>
                <w:sz w:val="20"/>
                <w:szCs w:val="20"/>
              </w:rPr>
              <w:t>计</w:t>
            </w:r>
          </w:p>
        </w:tc>
      </w:tr>
      <w:tr>
        <w:tblPrEx>
          <w:tblCellMar>
            <w:top w:w="0" w:type="dxa"/>
            <w:left w:w="108" w:type="dxa"/>
            <w:bottom w:w="0" w:type="dxa"/>
            <w:right w:w="108" w:type="dxa"/>
          </w:tblCellMar>
        </w:tblPrEx>
        <w:trPr>
          <w:trHeight w:val="312"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r>
      <w:tr>
        <w:tblPrEx>
          <w:tblCellMar>
            <w:top w:w="0" w:type="dxa"/>
            <w:left w:w="108" w:type="dxa"/>
            <w:bottom w:w="0" w:type="dxa"/>
            <w:right w:w="108" w:type="dxa"/>
          </w:tblCellMar>
        </w:tblPrEx>
        <w:trPr>
          <w:trHeight w:val="312"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r>
      <w:tr>
        <w:tblPrEx>
          <w:tblCellMar>
            <w:top w:w="0" w:type="dxa"/>
            <w:left w:w="108" w:type="dxa"/>
            <w:bottom w:w="0" w:type="dxa"/>
            <w:right w:w="108" w:type="dxa"/>
          </w:tblCellMar>
        </w:tblPrEx>
        <w:trPr>
          <w:trHeight w:val="312" w:hRule="atLeast"/>
          <w:jc w:val="center"/>
        </w:trPr>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c>
          <w:tcPr>
            <w:tcW w:w="6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p>
        </w:tc>
      </w:tr>
      <w:tr>
        <w:tblPrEx>
          <w:tblCellMar>
            <w:top w:w="0" w:type="dxa"/>
            <w:left w:w="108" w:type="dxa"/>
            <w:bottom w:w="0" w:type="dxa"/>
            <w:right w:w="108" w:type="dxa"/>
          </w:tblCellMar>
        </w:tblPrEx>
        <w:trPr>
          <w:trHeight w:val="2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heme="minorEastAsia" w:hAnsiTheme="minorEastAsia" w:cstheme="minorEastAsia"/>
                <w:sz w:val="20"/>
                <w:szCs w:val="20"/>
              </w:rPr>
            </w:pPr>
            <w:r>
              <w:rPr>
                <w:rFonts w:hint="eastAsia" w:asciiTheme="minorEastAsia" w:hAnsiTheme="minorEastAsia" w:cstheme="minorEastAsia"/>
                <w:sz w:val="20"/>
                <w:szCs w:val="20"/>
              </w:rPr>
              <w:t>0</w:t>
            </w: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一</w:t>
      </w:r>
      <w:r>
        <w:rPr>
          <w:rFonts w:hint="eastAsia" w:ascii="楷体" w:hAnsi="楷体" w:eastAsia="楷体" w:cs="楷体"/>
          <w:sz w:val="32"/>
          <w:szCs w:val="32"/>
          <w:lang w:eastAsia="zh-CN"/>
        </w:rPr>
        <w:t>）</w:t>
      </w:r>
      <w:r>
        <w:rPr>
          <w:rFonts w:hint="eastAsia" w:ascii="楷体" w:hAnsi="楷体" w:eastAsia="楷体" w:cs="楷体"/>
          <w:sz w:val="32"/>
          <w:szCs w:val="32"/>
        </w:rPr>
        <w:t>存在不足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2023年中，主要存在以下问题：一是政务公开的形式比较单一，对于涉及人民群众切身相关的利益问题的政策性文件公开较少；二是政务公开力量薄弱，负责信息公开的人员业务能力有待提升，队伍建设还需配齐加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（二）改进情况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2024年里，主要在以下方面进行改进：一是强化政务信息公开力度。以社会需求、群众关注为导向，选择社会关注度高的信息作为突破口，不断丰富信息公开的内容，继续强化信息内容更新，二是加强政务公开工作队伍建设。定期开展业务培训会，切实提升工作人员的业务能力，提高政务公开工作的质量和水平。</w:t>
      </w:r>
    </w:p>
    <w:p>
      <w:pPr>
        <w:keepNext w:val="0"/>
        <w:keepLines w:val="0"/>
        <w:pageBreakBefore w:val="0"/>
        <w:widowControl w:val="0"/>
        <w:kinsoku/>
        <w:wordWrap/>
        <w:overflowPunct/>
        <w:topLinePunct w:val="0"/>
        <w:autoSpaceDE/>
        <w:autoSpaceDN/>
        <w:bidi w:val="0"/>
        <w:adjustRightInd/>
        <w:snapToGrid/>
        <w:spacing w:line="600" w:lineRule="exact"/>
        <w:ind w:left="640"/>
        <w:textAlignment w:val="auto"/>
        <w:rPr>
          <w:rFonts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2023年，无涉及《政府信息公开信息处理费管理办法》中规定的收取信息处理费情况。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D5103E-81D6-46FC-8450-AF1DE5590E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2F1705A5-84F1-4CB6-90CA-B7ADDE89866D}"/>
  </w:font>
  <w:font w:name="方正仿宋_GB2312">
    <w:panose1 w:val="02000000000000000000"/>
    <w:charset w:val="86"/>
    <w:family w:val="auto"/>
    <w:pitch w:val="default"/>
    <w:sig w:usb0="A00002BF" w:usb1="184F6CFA" w:usb2="00000012" w:usb3="00000000" w:csb0="00040001" w:csb1="00000000"/>
    <w:embedRegular r:id="rId3" w:fontKey="{D9910E15-C660-4689-BDAD-A2AFD40EDE8C}"/>
  </w:font>
  <w:font w:name="楷体">
    <w:panose1 w:val="02010609060101010101"/>
    <w:charset w:val="86"/>
    <w:family w:val="auto"/>
    <w:pitch w:val="default"/>
    <w:sig w:usb0="800002BF" w:usb1="38CF7CFA" w:usb2="00000016" w:usb3="00000000" w:csb0="00040001" w:csb1="00000000"/>
    <w:embedRegular r:id="rId4" w:fontKey="{3ADFAD25-761C-4B92-8C34-7AAB69FBA6DE}"/>
  </w:font>
  <w:font w:name="仿宋">
    <w:panose1 w:val="02010609060101010101"/>
    <w:charset w:val="86"/>
    <w:family w:val="modern"/>
    <w:pitch w:val="default"/>
    <w:sig w:usb0="800002BF" w:usb1="38CF7CFA" w:usb2="00000016" w:usb3="00000000" w:csb0="00040001" w:csb1="00000000"/>
    <w:embedRegular r:id="rId5" w:fontKey="{8E4AF8BC-73FB-4338-8B96-AA794C8DB582}"/>
  </w:font>
  <w:font w:name="仿宋_GB2312">
    <w:panose1 w:val="02010609030101010101"/>
    <w:charset w:val="86"/>
    <w:family w:val="auto"/>
    <w:pitch w:val="default"/>
    <w:sig w:usb0="00000001" w:usb1="080E0000" w:usb2="00000000" w:usb3="00000000" w:csb0="00040000" w:csb1="00000000"/>
    <w:embedRegular r:id="rId6" w:fontKey="{7EED7027-7013-434A-B3F1-49F4DFFFEBEC}"/>
  </w:font>
  <w:font w:name="华文中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A00002BF" w:usb1="38CF7CFA" w:usb2="00082016" w:usb3="00000000" w:csb0="00040001" w:csb1="00000000"/>
  </w:font>
  <w:font w:name="汉仪雅酷黑简">
    <w:panose1 w:val="00020600040101010101"/>
    <w:charset w:val="86"/>
    <w:family w:val="auto"/>
    <w:pitch w:val="default"/>
    <w:sig w:usb0="A00002BF" w:usb1="1AC17CFA" w:usb2="00000016"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2E4E18"/>
    <w:multiLevelType w:val="singleLevel"/>
    <w:tmpl w:val="8C2E4E18"/>
    <w:lvl w:ilvl="0" w:tentative="0">
      <w:start w:val="2"/>
      <w:numFmt w:val="chineseCounting"/>
      <w:suff w:val="nothing"/>
      <w:lvlText w:val="%1、"/>
      <w:lvlJc w:val="left"/>
      <w:pPr>
        <w:ind w:left="567"/>
      </w:pPr>
      <w:rPr>
        <w:rFonts w:hint="eastAsia" w:ascii="黑体" w:hAnsi="黑体" w:eastAsia="黑体" w:cs="黑体"/>
        <w:b w:val="0"/>
        <w:bCs w:val="0"/>
        <w:color w:val="auto"/>
      </w:rPr>
    </w:lvl>
  </w:abstractNum>
  <w:abstractNum w:abstractNumId="1">
    <w:nsid w:val="23C5C880"/>
    <w:multiLevelType w:val="singleLevel"/>
    <w:tmpl w:val="23C5C880"/>
    <w:lvl w:ilvl="0" w:tentative="0">
      <w:start w:val="5"/>
      <w:numFmt w:val="chineseCounting"/>
      <w:suff w:val="nothing"/>
      <w:lvlText w:val="（%1）"/>
      <w:lvlJc w:val="left"/>
      <w:rPr>
        <w:rFonts w:hint="eastAsia"/>
      </w:rPr>
    </w:lvl>
  </w:abstractNum>
  <w:abstractNum w:abstractNumId="2">
    <w:nsid w:val="5DCF0F51"/>
    <w:multiLevelType w:val="multilevel"/>
    <w:tmpl w:val="5DCF0F51"/>
    <w:lvl w:ilvl="0" w:tentative="0">
      <w:start w:val="3"/>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ODAwODA4ODkyODA5MGU5ZWFmZjY3NmE2YzE5MWEifQ=="/>
  </w:docVars>
  <w:rsids>
    <w:rsidRoot w:val="2FF51D9D"/>
    <w:rsid w:val="0025736C"/>
    <w:rsid w:val="003E1B41"/>
    <w:rsid w:val="00435F00"/>
    <w:rsid w:val="005110C4"/>
    <w:rsid w:val="006B36EA"/>
    <w:rsid w:val="00805D27"/>
    <w:rsid w:val="009361CA"/>
    <w:rsid w:val="00BB4A4D"/>
    <w:rsid w:val="00D6006B"/>
    <w:rsid w:val="00D94E13"/>
    <w:rsid w:val="00ED2C9B"/>
    <w:rsid w:val="00FF1204"/>
    <w:rsid w:val="1E5F4194"/>
    <w:rsid w:val="2FF51D9D"/>
    <w:rsid w:val="39795FE6"/>
    <w:rsid w:val="3E191E78"/>
    <w:rsid w:val="4B1B057E"/>
    <w:rsid w:val="56C81D1E"/>
    <w:rsid w:val="714146DF"/>
    <w:rsid w:val="7AF319F7"/>
    <w:rsid w:val="7E997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autoRedefine/>
    <w:qFormat/>
    <w:uiPriority w:val="0"/>
    <w:rPr>
      <w:b/>
    </w:rPr>
  </w:style>
  <w:style w:type="character" w:styleId="8">
    <w:name w:val="Hyperlink"/>
    <w:basedOn w:val="6"/>
    <w:autoRedefine/>
    <w:uiPriority w:val="0"/>
    <w:rPr>
      <w:color w:val="0000FF"/>
      <w:u w:val="single"/>
    </w:rPr>
  </w:style>
  <w:style w:type="character" w:customStyle="1" w:styleId="9">
    <w:name w:val="font11"/>
    <w:basedOn w:val="6"/>
    <w:autoRedefine/>
    <w:qFormat/>
    <w:uiPriority w:val="0"/>
    <w:rPr>
      <w:rFonts w:hint="eastAsia" w:ascii="宋体" w:hAnsi="宋体" w:eastAsia="宋体" w:cs="宋体"/>
      <w:color w:val="000000"/>
      <w:sz w:val="20"/>
      <w:szCs w:val="20"/>
      <w:u w:val="none"/>
    </w:rPr>
  </w:style>
  <w:style w:type="character" w:customStyle="1" w:styleId="10">
    <w:name w:val="font31"/>
    <w:basedOn w:val="6"/>
    <w:autoRedefine/>
    <w:qFormat/>
    <w:uiPriority w:val="0"/>
    <w:rPr>
      <w:rFonts w:ascii="Calibri" w:hAnsi="Calibri" w:cs="Calibri"/>
      <w:color w:val="000000"/>
      <w:sz w:val="20"/>
      <w:szCs w:val="20"/>
      <w:u w:val="none"/>
    </w:rPr>
  </w:style>
  <w:style w:type="character" w:customStyle="1" w:styleId="11">
    <w:name w:val="font21"/>
    <w:basedOn w:val="6"/>
    <w:autoRedefine/>
    <w:qFormat/>
    <w:uiPriority w:val="0"/>
    <w:rPr>
      <w:rFonts w:hint="eastAsia" w:ascii="宋体" w:hAnsi="宋体" w:eastAsia="宋体" w:cs="宋体"/>
      <w:color w:val="000000"/>
      <w:sz w:val="20"/>
      <w:szCs w:val="20"/>
      <w:u w:val="none"/>
    </w:rPr>
  </w:style>
  <w:style w:type="paragraph" w:styleId="12">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428</Words>
  <Characters>2444</Characters>
  <Lines>20</Lines>
  <Paragraphs>5</Paragraphs>
  <TotalTime>2</TotalTime>
  <ScaleCrop>false</ScaleCrop>
  <LinksUpToDate>false</LinksUpToDate>
  <CharactersWithSpaces>2867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2024-01-13T04:16:00Z</dcterms:created>
  <dc:creator>Fickle.</dc:creator>
  <cp:lastModifiedBy>Fickle.</cp:lastModifiedBy>
  <cp:lastPrinted>2024-01-13T05:15:00Z</cp:lastPrinted>
  <dcterms:modified xsi:type="dcterms:W3CDTF">2024-02-05T01:51:05Z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316A0FA1F49B419A8BEDE467C2367516_13</vt:lpwstr>
  </property>
</Properties>
</file>