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呼兰区</w:t>
      </w:r>
      <w:r>
        <w:rPr>
          <w:rFonts w:hint="eastAsia" w:ascii="方正小标宋_GBK" w:hAnsi="方正小标宋_GBK" w:eastAsia="方正小标宋_GBK" w:cs="方正小标宋_GBK"/>
          <w:b w:val="0"/>
          <w:bCs w:val="0"/>
          <w:sz w:val="44"/>
          <w:szCs w:val="44"/>
          <w:lang w:val="en-US" w:eastAsia="zh-CN"/>
        </w:rPr>
        <w:t>石人</w:t>
      </w:r>
      <w:r>
        <w:rPr>
          <w:rFonts w:hint="eastAsia" w:ascii="方正小标宋_GBK" w:hAnsi="方正小标宋_GBK" w:eastAsia="方正小标宋_GBK" w:cs="方正小标宋_GBK"/>
          <w:b w:val="0"/>
          <w:bCs w:val="0"/>
          <w:i w:val="0"/>
          <w:iCs w:val="0"/>
          <w:sz w:val="44"/>
          <w:szCs w:val="44"/>
          <w:lang w:val="en-US" w:eastAsia="zh-CN"/>
        </w:rPr>
        <w:t>镇</w:t>
      </w: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3</w:t>
      </w:r>
      <w:r>
        <w:rPr>
          <w:rFonts w:hint="eastAsia" w:ascii="方正小标宋_GBK" w:hAnsi="方正小标宋_GBK" w:eastAsia="方正小标宋_GBK" w:cs="方正小标宋_GBK"/>
          <w:sz w:val="44"/>
          <w:szCs w:val="44"/>
        </w:rPr>
        <w:t>年政府信息公开工作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年度报告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本年度报告根据《中华人民共和国政府信息公开条例》（以下简称《条例》）和《国务院办公厅政府信息与政务公开办公室关于印发中华人民共和国政府信息公开工作年度报告格式的通知》（国办公开办函〔2021〕30号）相关要求编制而成。报告中所列数据统计期限自2023年1月1日起至2023年12月31日止。本年度报告的电子版可通过呼兰区人民政府门户网站→政务公开栏目→政府信息公开年报专栏→乡镇街道政府信息公开年度报告查阅下载（http://www.hulan.gov.cn/hebhlq/sy.shtml）如对本报告有疑问，请联系哈尔滨市呼兰区长岭街道办事处，地址：哈尔滨市呼兰区站前北亮丽大街与010乡道交叉口北280米。邮编：150500。电话：</w:t>
      </w:r>
      <w:r>
        <w:rPr>
          <w:rFonts w:hint="eastAsia" w:ascii="仿宋" w:hAnsi="仿宋" w:eastAsia="仿宋" w:cs="仿宋"/>
          <w:b w:val="0"/>
          <w:bCs w:val="0"/>
          <w:color w:val="auto"/>
          <w:sz w:val="32"/>
          <w:szCs w:val="32"/>
        </w:rPr>
        <w:t>045</w:t>
      </w:r>
      <w:r>
        <w:rPr>
          <w:rFonts w:hint="eastAsia" w:ascii="仿宋" w:hAnsi="仿宋" w:eastAsia="仿宋" w:cs="仿宋"/>
          <w:sz w:val="32"/>
          <w:szCs w:val="32"/>
        </w:rPr>
        <w:t>1-</w:t>
      </w:r>
      <w:r>
        <w:rPr>
          <w:rFonts w:hint="eastAsia" w:ascii="仿宋" w:hAnsi="仿宋" w:eastAsia="仿宋" w:cs="仿宋"/>
          <w:sz w:val="32"/>
          <w:szCs w:val="32"/>
          <w:lang w:val="en-US" w:eastAsia="zh-CN"/>
        </w:rPr>
        <w:t>5528320</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黑体" w:hAnsi="黑体" w:eastAsia="黑体" w:cs="黑体"/>
          <w:sz w:val="32"/>
          <w:szCs w:val="32"/>
          <w:lang w:eastAsia="zh-CN"/>
        </w:rPr>
        <w:t>一、总体情况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（一）主动公开。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2312" w:hAnsi="方正仿宋_GB2312" w:eastAsia="方正仿宋_GB2312" w:cs="方正仿宋_GB2312"/>
          <w:color w:val="C00000"/>
          <w:sz w:val="32"/>
          <w:szCs w:val="32"/>
          <w:lang w:val="en-US" w:eastAsia="zh-CN"/>
        </w:rPr>
      </w:pPr>
      <w:r>
        <w:rPr>
          <w:rFonts w:hint="eastAsia" w:ascii="仿宋" w:hAnsi="仿宋" w:eastAsia="仿宋" w:cs="仿宋"/>
          <w:i w:val="0"/>
          <w:caps w:val="0"/>
          <w:color w:val="auto"/>
          <w:spacing w:val="0"/>
          <w:sz w:val="32"/>
          <w:szCs w:val="32"/>
          <w:shd w:val="clear" w:color="auto" w:fill="FFFFFF"/>
        </w:rPr>
        <w:t>20</w:t>
      </w:r>
      <w:r>
        <w:rPr>
          <w:rFonts w:hint="eastAsia" w:ascii="仿宋" w:hAnsi="仿宋" w:eastAsia="仿宋" w:cs="仿宋"/>
          <w:i w:val="0"/>
          <w:caps w:val="0"/>
          <w:color w:val="auto"/>
          <w:spacing w:val="0"/>
          <w:sz w:val="32"/>
          <w:szCs w:val="32"/>
          <w:shd w:val="clear" w:color="auto" w:fill="FFFFFF"/>
          <w:lang w:val="en-US" w:eastAsia="zh-CN"/>
        </w:rPr>
        <w:t>23</w:t>
      </w:r>
      <w:r>
        <w:rPr>
          <w:rFonts w:hint="eastAsia" w:ascii="仿宋" w:hAnsi="仿宋" w:eastAsia="仿宋" w:cs="仿宋"/>
          <w:i w:val="0"/>
          <w:caps w:val="0"/>
          <w:color w:val="auto"/>
          <w:spacing w:val="0"/>
          <w:sz w:val="32"/>
          <w:szCs w:val="32"/>
          <w:shd w:val="clear" w:color="auto" w:fill="FFFFFF"/>
        </w:rPr>
        <w:t>年，</w:t>
      </w:r>
      <w:r>
        <w:rPr>
          <w:rFonts w:hint="eastAsia" w:ascii="仿宋" w:hAnsi="仿宋" w:eastAsia="仿宋" w:cs="仿宋"/>
          <w:i w:val="0"/>
          <w:caps w:val="0"/>
          <w:color w:val="auto"/>
          <w:spacing w:val="0"/>
          <w:sz w:val="32"/>
          <w:szCs w:val="32"/>
          <w:shd w:val="clear" w:color="auto" w:fill="FFFFFF"/>
          <w:lang w:val="en-US" w:eastAsia="zh-CN"/>
        </w:rPr>
        <w:t>呼兰区石人镇人民政府严格依照《条例》进行主动公开工作，</w:t>
      </w:r>
      <w:r>
        <w:rPr>
          <w:rFonts w:hint="eastAsia" w:ascii="仿宋" w:hAnsi="仿宋" w:eastAsia="仿宋" w:cs="仿宋"/>
          <w:i w:val="0"/>
          <w:caps w:val="0"/>
          <w:color w:val="auto"/>
          <w:spacing w:val="0"/>
          <w:sz w:val="32"/>
          <w:szCs w:val="32"/>
          <w:shd w:val="clear" w:color="auto" w:fill="FFFFFF"/>
        </w:rPr>
        <w:t>坚持以人民为中心深化政务公开，助力全</w:t>
      </w:r>
      <w:r>
        <w:rPr>
          <w:rFonts w:hint="eastAsia" w:ascii="仿宋" w:hAnsi="仿宋" w:eastAsia="仿宋" w:cs="仿宋"/>
          <w:i w:val="0"/>
          <w:caps w:val="0"/>
          <w:color w:val="auto"/>
          <w:spacing w:val="0"/>
          <w:sz w:val="32"/>
          <w:szCs w:val="32"/>
          <w:shd w:val="clear" w:color="auto" w:fill="FFFFFF"/>
          <w:lang w:eastAsia="zh-CN"/>
        </w:rPr>
        <w:t>镇</w:t>
      </w:r>
      <w:r>
        <w:rPr>
          <w:rFonts w:hint="eastAsia" w:ascii="仿宋" w:hAnsi="仿宋" w:eastAsia="仿宋" w:cs="仿宋"/>
          <w:i w:val="0"/>
          <w:caps w:val="0"/>
          <w:color w:val="auto"/>
          <w:spacing w:val="0"/>
          <w:sz w:val="32"/>
          <w:szCs w:val="32"/>
          <w:shd w:val="clear" w:color="auto" w:fill="FFFFFF"/>
        </w:rPr>
        <w:t>经济社会高质量发展、营商环境持续改善，各项工作取得较好成效。</w:t>
      </w:r>
      <w:r>
        <w:rPr>
          <w:rFonts w:hint="eastAsia" w:ascii="仿宋" w:hAnsi="仿宋" w:eastAsia="仿宋" w:cs="仿宋"/>
          <w:i w:val="0"/>
          <w:caps w:val="0"/>
          <w:color w:val="auto"/>
          <w:spacing w:val="0"/>
          <w:sz w:val="32"/>
          <w:szCs w:val="32"/>
          <w:shd w:val="clear" w:color="auto" w:fill="FFFFFF"/>
          <w:lang w:val="en-US" w:eastAsia="zh-CN"/>
        </w:rPr>
        <w:t>截至2023年12月31日，石人镇人民政府主动</w:t>
      </w:r>
      <w:r>
        <w:rPr>
          <w:rFonts w:hint="eastAsia" w:ascii="仿宋" w:hAnsi="仿宋" w:eastAsia="仿宋" w:cs="仿宋"/>
          <w:i w:val="0"/>
          <w:caps w:val="0"/>
          <w:color w:val="auto"/>
          <w:spacing w:val="0"/>
          <w:sz w:val="32"/>
          <w:szCs w:val="32"/>
          <w:shd w:val="clear" w:color="auto" w:fill="FFFFFF"/>
        </w:rPr>
        <w:t>公开</w:t>
      </w:r>
      <w:r>
        <w:rPr>
          <w:rFonts w:hint="eastAsia" w:ascii="仿宋" w:hAnsi="仿宋" w:eastAsia="仿宋" w:cs="仿宋"/>
          <w:i w:val="0"/>
          <w:caps w:val="0"/>
          <w:color w:val="auto"/>
          <w:spacing w:val="0"/>
          <w:sz w:val="32"/>
          <w:szCs w:val="32"/>
          <w:shd w:val="clear" w:color="auto" w:fill="FFFFFF"/>
          <w:lang w:val="en-US" w:eastAsia="zh-CN"/>
        </w:rPr>
        <w:t>政府信息</w:t>
      </w:r>
      <w:r>
        <w:rPr>
          <w:rFonts w:hint="eastAsia" w:ascii="仿宋" w:hAnsi="仿宋" w:eastAsia="仿宋" w:cs="仿宋"/>
          <w:i w:val="0"/>
          <w:caps w:val="0"/>
          <w:color w:val="auto"/>
          <w:spacing w:val="0"/>
          <w:sz w:val="32"/>
          <w:szCs w:val="32"/>
          <w:shd w:val="clear" w:color="auto" w:fill="FFFFFF"/>
        </w:rPr>
        <w:t>数量</w:t>
      </w:r>
      <w:r>
        <w:rPr>
          <w:rFonts w:hint="eastAsia" w:ascii="仿宋" w:hAnsi="仿宋" w:eastAsia="仿宋" w:cs="仿宋"/>
          <w:i w:val="0"/>
          <w:caps w:val="0"/>
          <w:color w:val="auto"/>
          <w:spacing w:val="0"/>
          <w:sz w:val="32"/>
          <w:szCs w:val="32"/>
          <w:shd w:val="clear" w:color="auto" w:fill="FFFFFF"/>
          <w:lang w:val="en-US" w:eastAsia="zh-CN"/>
        </w:rPr>
        <w:t>0</w:t>
      </w:r>
      <w:r>
        <w:rPr>
          <w:rFonts w:hint="eastAsia" w:ascii="仿宋" w:hAnsi="仿宋" w:eastAsia="仿宋" w:cs="仿宋"/>
          <w:i w:val="0"/>
          <w:caps w:val="0"/>
          <w:color w:val="auto"/>
          <w:spacing w:val="0"/>
          <w:sz w:val="32"/>
          <w:szCs w:val="32"/>
          <w:shd w:val="clear" w:color="auto" w:fill="FFFFFF"/>
        </w:rPr>
        <w:t>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（二）依申请公开。</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方正仿宋_GB2312" w:hAnsi="方正仿宋_GB2312" w:eastAsia="方正仿宋_GB2312" w:cs="方正仿宋_GB2312"/>
          <w:color w:val="C00000"/>
          <w:sz w:val="32"/>
          <w:szCs w:val="32"/>
          <w:lang w:val="en-US" w:eastAsia="zh-CN"/>
        </w:rPr>
      </w:pPr>
      <w:r>
        <w:rPr>
          <w:rFonts w:hint="eastAsia" w:ascii="仿宋" w:hAnsi="仿宋" w:eastAsia="仿宋" w:cs="仿宋"/>
          <w:i w:val="0"/>
          <w:caps w:val="0"/>
          <w:color w:val="auto"/>
          <w:spacing w:val="0"/>
          <w:sz w:val="32"/>
          <w:szCs w:val="32"/>
          <w:shd w:val="clear" w:color="auto" w:fill="FFFFFF"/>
        </w:rPr>
        <w:t>牢固树立为民服务理念，依法依规做实依申请公开工作，</w:t>
      </w:r>
      <w:r>
        <w:rPr>
          <w:rFonts w:hint="default" w:ascii="仿宋" w:hAnsi="仿宋" w:eastAsia="仿宋" w:cs="仿宋"/>
          <w:i w:val="0"/>
          <w:caps w:val="0"/>
          <w:color w:val="auto"/>
          <w:spacing w:val="0"/>
          <w:sz w:val="32"/>
          <w:szCs w:val="32"/>
          <w:shd w:val="clear" w:color="auto" w:fill="FFFFFF"/>
        </w:rPr>
        <w:t>2022</w:t>
      </w:r>
      <w:r>
        <w:rPr>
          <w:rFonts w:hint="eastAsia" w:ascii="仿宋" w:hAnsi="仿宋" w:eastAsia="仿宋" w:cs="仿宋"/>
          <w:i w:val="0"/>
          <w:caps w:val="0"/>
          <w:color w:val="auto"/>
          <w:spacing w:val="0"/>
          <w:sz w:val="32"/>
          <w:szCs w:val="32"/>
          <w:shd w:val="clear" w:color="auto" w:fill="FFFFFF"/>
        </w:rPr>
        <w:t>年，未收到政府信息公开申请案件。202</w:t>
      </w:r>
      <w:r>
        <w:rPr>
          <w:rFonts w:hint="eastAsia" w:ascii="仿宋" w:hAnsi="仿宋" w:eastAsia="仿宋" w:cs="仿宋"/>
          <w:i w:val="0"/>
          <w:caps w:val="0"/>
          <w:color w:val="auto"/>
          <w:spacing w:val="0"/>
          <w:sz w:val="32"/>
          <w:szCs w:val="32"/>
          <w:shd w:val="clear" w:color="auto" w:fill="FFFFFF"/>
          <w:lang w:val="en-US" w:eastAsia="zh-CN"/>
        </w:rPr>
        <w:t>3</w:t>
      </w:r>
      <w:r>
        <w:rPr>
          <w:rFonts w:hint="eastAsia" w:ascii="仿宋" w:hAnsi="仿宋" w:eastAsia="仿宋" w:cs="仿宋"/>
          <w:i w:val="0"/>
          <w:caps w:val="0"/>
          <w:color w:val="auto"/>
          <w:spacing w:val="0"/>
          <w:sz w:val="32"/>
          <w:szCs w:val="32"/>
          <w:shd w:val="clear" w:color="auto" w:fill="FFFFFF"/>
        </w:rPr>
        <w:t>年</w:t>
      </w:r>
      <w:r>
        <w:rPr>
          <w:rFonts w:hint="eastAsia" w:ascii="仿宋" w:hAnsi="仿宋" w:eastAsia="仿宋" w:cs="仿宋"/>
          <w:i w:val="0"/>
          <w:caps w:val="0"/>
          <w:color w:val="auto"/>
          <w:spacing w:val="0"/>
          <w:sz w:val="32"/>
          <w:szCs w:val="32"/>
          <w:shd w:val="clear" w:color="auto" w:fill="FFFFFF"/>
          <w:lang w:val="en-US" w:eastAsia="zh-CN"/>
        </w:rPr>
        <w:t>呼兰区石人镇人民政府</w:t>
      </w:r>
      <w:r>
        <w:rPr>
          <w:rFonts w:hint="eastAsia" w:ascii="仿宋" w:hAnsi="仿宋" w:eastAsia="仿宋" w:cs="仿宋"/>
          <w:i w:val="0"/>
          <w:caps w:val="0"/>
          <w:color w:val="auto"/>
          <w:spacing w:val="0"/>
          <w:sz w:val="32"/>
          <w:szCs w:val="32"/>
          <w:shd w:val="clear" w:color="auto" w:fill="FFFFFF"/>
        </w:rPr>
        <w:t>未发生政府信息公开行政复议、行政诉讼。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（三）政府信息管理。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i w:val="0"/>
          <w:caps w:val="0"/>
          <w:color w:val="auto"/>
          <w:spacing w:val="0"/>
          <w:sz w:val="32"/>
          <w:szCs w:val="32"/>
          <w:shd w:val="clear" w:color="auto" w:fill="FFFFFF"/>
          <w:lang w:val="en-US" w:eastAsia="zh-CN"/>
        </w:rPr>
      </w:pPr>
      <w:r>
        <w:rPr>
          <w:rFonts w:hint="default" w:ascii="仿宋" w:hAnsi="仿宋" w:eastAsia="仿宋" w:cs="仿宋"/>
          <w:i w:val="0"/>
          <w:caps w:val="0"/>
          <w:color w:val="auto"/>
          <w:spacing w:val="0"/>
          <w:sz w:val="32"/>
          <w:szCs w:val="32"/>
          <w:shd w:val="clear" w:color="auto" w:fill="FFFFFF"/>
          <w:lang w:val="en-US" w:eastAsia="zh-CN"/>
        </w:rPr>
        <w:t>全面推进政务公开标准化规范化建设工作。政务公开标准化规范化工作有序开展，全面梳理公开事项，细化公开标准，形成了分类科学、内容完整、充分体现业务工作内容的政务公开标准目录。</w:t>
      </w:r>
      <w:r>
        <w:rPr>
          <w:rFonts w:hint="eastAsia" w:ascii="仿宋" w:hAnsi="仿宋" w:eastAsia="仿宋" w:cs="仿宋"/>
          <w:i w:val="0"/>
          <w:caps w:val="0"/>
          <w:color w:val="auto"/>
          <w:spacing w:val="0"/>
          <w:sz w:val="32"/>
          <w:szCs w:val="32"/>
          <w:shd w:val="clear" w:color="auto" w:fill="FFFFFF"/>
          <w:lang w:val="en-US" w:eastAsia="zh-CN"/>
        </w:rPr>
        <w:t>按照乡镇政府信息公开目录要求，规范政府信息公开范围和分类。</w:t>
      </w:r>
      <w:r>
        <w:rPr>
          <w:rFonts w:hint="default" w:ascii="仿宋" w:hAnsi="仿宋" w:eastAsia="仿宋" w:cs="仿宋"/>
          <w:i w:val="0"/>
          <w:caps w:val="0"/>
          <w:color w:val="auto"/>
          <w:spacing w:val="0"/>
          <w:sz w:val="32"/>
          <w:szCs w:val="32"/>
          <w:shd w:val="clear" w:color="auto" w:fill="FFFFFF"/>
          <w:lang w:val="en-US" w:eastAsia="zh-CN"/>
        </w:rPr>
        <w:t>细致做好标准指引落地应用，政务公开规范化标准化程度进一步提高。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（四）政府信息公开平台建设。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一是建立政务公开专区。按照省、市、区统一部署，服务大厅建设政务公开专区一处，并配备便民服务箱、综合咨询服务台、政务公开信息阅览栏等，方便群众查阅政务信息，指导群众进行依申请公开等工作。二是积极进行自查整改。对标对表进行自查，举一反三，逐项整改。三是严格监管政务新媒体建设。加强政务新媒体日常监测和风险排查，进一步规范政务新媒体的开设、注销、备案、信息发布工作。</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监督保障。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jc w:val="both"/>
        <w:textAlignment w:val="auto"/>
        <w:rPr>
          <w:rFonts w:hint="eastAsia" w:ascii="仿宋" w:hAnsi="仿宋" w:eastAsia="仿宋" w:cs="仿宋"/>
          <w:i w:val="0"/>
          <w:caps w:val="0"/>
          <w:color w:val="auto"/>
          <w:spacing w:val="0"/>
          <w:kern w:val="2"/>
          <w:sz w:val="32"/>
          <w:szCs w:val="32"/>
          <w:shd w:val="clear" w:color="auto" w:fill="FFFFFF"/>
          <w:lang w:val="en-US" w:eastAsia="zh-CN" w:bidi="ar-SA"/>
        </w:rPr>
      </w:pPr>
      <w:r>
        <w:rPr>
          <w:rFonts w:hint="eastAsia" w:ascii="仿宋" w:hAnsi="仿宋" w:eastAsia="仿宋" w:cs="仿宋"/>
          <w:i w:val="0"/>
          <w:caps w:val="0"/>
          <w:color w:val="auto"/>
          <w:spacing w:val="0"/>
          <w:kern w:val="2"/>
          <w:sz w:val="32"/>
          <w:szCs w:val="32"/>
          <w:shd w:val="clear" w:color="auto" w:fill="FFFFFF"/>
          <w:lang w:val="en-US" w:eastAsia="zh-CN" w:bidi="ar-SA"/>
        </w:rPr>
        <w:t>我单位严格履行职责，将信息公开作为常规性工作流程中的一项重要内容加以督促，按照信息编写－审核－发布－督查一条龙工作脉络保障工作质效。成立以党委书记为组长，主管领导为副组长的专项工作领导小组，指定专人负责公开工作。确保重要信息不漏报、不迟报、不误报。</w:t>
      </w:r>
    </w:p>
    <w:tbl>
      <w:tblPr>
        <w:tblStyle w:val="4"/>
        <w:tblpPr w:leftFromText="180" w:rightFromText="180" w:vertAnchor="text" w:horzAnchor="page" w:tblpXSpec="center" w:tblpY="600"/>
        <w:tblOverlap w:val="never"/>
        <w:tblW w:w="88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16"/>
        <w:gridCol w:w="2217"/>
        <w:gridCol w:w="2217"/>
        <w:gridCol w:w="22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9" w:hRule="exact"/>
          <w:jc w:val="center"/>
        </w:trPr>
        <w:tc>
          <w:tcPr>
            <w:tcW w:w="8867" w:type="dxa"/>
            <w:gridSpan w:val="4"/>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信息内容</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本年制发件数</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本年废止件数</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规章</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行政规范性文件</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8867" w:type="dxa"/>
            <w:gridSpan w:val="4"/>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信息内容</w:t>
            </w:r>
          </w:p>
        </w:tc>
        <w:tc>
          <w:tcPr>
            <w:tcW w:w="6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行政许可</w:t>
            </w:r>
          </w:p>
        </w:tc>
        <w:tc>
          <w:tcPr>
            <w:tcW w:w="6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8867" w:type="dxa"/>
            <w:gridSpan w:val="4"/>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信息内容</w:t>
            </w:r>
          </w:p>
        </w:tc>
        <w:tc>
          <w:tcPr>
            <w:tcW w:w="6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行政处罚</w:t>
            </w:r>
          </w:p>
        </w:tc>
        <w:tc>
          <w:tcPr>
            <w:tcW w:w="6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行政强制</w:t>
            </w:r>
          </w:p>
        </w:tc>
        <w:tc>
          <w:tcPr>
            <w:tcW w:w="6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8867" w:type="dxa"/>
            <w:gridSpan w:val="4"/>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信息内容</w:t>
            </w:r>
          </w:p>
        </w:tc>
        <w:tc>
          <w:tcPr>
            <w:tcW w:w="6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行政事业性收费</w:t>
            </w:r>
          </w:p>
        </w:tc>
        <w:tc>
          <w:tcPr>
            <w:tcW w:w="6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bl>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主动公开政府信息情况</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64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收到和处理政府信息公开申请情况</w:t>
      </w:r>
    </w:p>
    <w:tbl>
      <w:tblPr>
        <w:tblStyle w:val="4"/>
        <w:tblW w:w="97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0"/>
        <w:gridCol w:w="995"/>
        <w:gridCol w:w="2520"/>
        <w:gridCol w:w="840"/>
        <w:gridCol w:w="737"/>
        <w:gridCol w:w="748"/>
        <w:gridCol w:w="825"/>
        <w:gridCol w:w="810"/>
        <w:gridCol w:w="720"/>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424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54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4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自然人</w:t>
            </w:r>
          </w:p>
        </w:tc>
        <w:tc>
          <w:tcPr>
            <w:tcW w:w="3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法人或其他组织</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2" w:hRule="atLeast"/>
          <w:jc w:val="center"/>
        </w:trPr>
        <w:tc>
          <w:tcPr>
            <w:tcW w:w="4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737"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商业</w:t>
            </w:r>
          </w:p>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企业</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科研</w:t>
            </w:r>
          </w:p>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机构</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社会</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公益</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组织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法律</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服务</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机构</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其他</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一、本年新收政府信息公开申请数量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二、上年结转政府信息公开申请数量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righ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lang w:val="en-US" w:eastAsia="zh-CN"/>
              </w:rPr>
              <w:t>三、本年度办理结果</w:t>
            </w:r>
          </w:p>
        </w:tc>
        <w:tc>
          <w:tcPr>
            <w:tcW w:w="3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（一）予以公开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3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（二）部分公开（区分处理的，只计这一情形，不计其他情形）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（三）不予公开</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1.属于国家秘密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2.其他法律行政法规禁止公开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3.危及“三安全一稳定”</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4.保护第三方合法权益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5.属于三类内部事务信息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6.属于四类过程性信息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7.属于行政执法案卷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8.属于行政查询事项</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（四）无法提供</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1.本机关不掌握相关政府信息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2.没有现成信息需要另行制作</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3.补正后申请内容仍不明确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（五）不予处理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1.信访举报投诉类申请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2.重复申请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3.要求提供公开出版物</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4.无正当理由大量反复申请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5.要求行政机关确认或重新出具已获取信息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（六）其他处理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1.申请人无正当理由逾期不补正、行政机关不再处理其政府信息公开申请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2.申请人逾期未按收费通知要求缴纳费用、行政机关不再处理其政府信息公开申请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3.其他</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3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（七）总计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四、结转下年度继续办理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40" w:left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四、政府信息公开行政复议、行政诉讼情况</w:t>
      </w:r>
    </w:p>
    <w:tbl>
      <w:tblPr>
        <w:tblStyle w:val="4"/>
        <w:tblW w:w="95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3"/>
        <w:gridCol w:w="636"/>
        <w:gridCol w:w="636"/>
        <w:gridCol w:w="636"/>
        <w:gridCol w:w="637"/>
        <w:gridCol w:w="636"/>
        <w:gridCol w:w="636"/>
        <w:gridCol w:w="636"/>
        <w:gridCol w:w="636"/>
        <w:gridCol w:w="636"/>
        <w:gridCol w:w="636"/>
        <w:gridCol w:w="636"/>
        <w:gridCol w:w="636"/>
        <w:gridCol w:w="636"/>
        <w:gridCol w:w="6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jc w:val="center"/>
        </w:trPr>
        <w:tc>
          <w:tcPr>
            <w:tcW w:w="32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行政复议</w:t>
            </w:r>
          </w:p>
        </w:tc>
        <w:tc>
          <w:tcPr>
            <w:tcW w:w="636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 w:hRule="atLeast"/>
          <w:jc w:val="center"/>
        </w:trPr>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维</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持</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纠</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正</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其</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他</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尚</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未</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审</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结</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总</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计</w:t>
            </w:r>
          </w:p>
        </w:tc>
        <w:tc>
          <w:tcPr>
            <w:tcW w:w="318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未经复议直接起诉</w:t>
            </w:r>
          </w:p>
        </w:tc>
        <w:tc>
          <w:tcPr>
            <w:tcW w:w="3181"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318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3181"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318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3181"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维</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持</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纠</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正</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其</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他</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尚</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未</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审</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结</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总</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计</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维</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持</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纠</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正</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其</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他</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尚</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未</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审</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结</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总</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bookmarkStart w:id="0" w:name="_GoBack"/>
      <w:r>
        <w:rPr>
          <w:rFonts w:hint="eastAsia" w:ascii="黑体" w:hAnsi="黑体" w:eastAsia="黑体" w:cs="黑体"/>
          <w:sz w:val="32"/>
          <w:szCs w:val="32"/>
          <w:lang w:val="en-US" w:eastAsia="zh-CN"/>
        </w:rPr>
        <w:t>五、存在的主要问题及改进情况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楷体" w:hAnsi="楷体" w:eastAsia="楷体" w:cs="楷体"/>
          <w:i w:val="0"/>
          <w:caps w:val="0"/>
          <w:color w:val="auto"/>
          <w:spacing w:val="0"/>
          <w:sz w:val="32"/>
          <w:szCs w:val="32"/>
          <w:shd w:val="clear" w:color="auto" w:fill="FFFFFF"/>
          <w:lang w:val="en-US" w:eastAsia="zh-CN"/>
        </w:rPr>
      </w:pPr>
      <w:r>
        <w:rPr>
          <w:rFonts w:hint="eastAsia" w:ascii="楷体" w:hAnsi="楷体" w:eastAsia="楷体" w:cs="楷体"/>
          <w:i w:val="0"/>
          <w:caps w:val="0"/>
          <w:color w:val="auto"/>
          <w:spacing w:val="0"/>
          <w:sz w:val="32"/>
          <w:szCs w:val="32"/>
          <w:shd w:val="clear" w:color="auto" w:fill="FFFFFF"/>
          <w:lang w:val="en-US" w:eastAsia="zh-CN"/>
        </w:rPr>
        <w:t>（一）存在问题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在2023年的工作中主要存在以下问题：信息公开缺乏多样宣传途径；基层干部对信息公开的认识不足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应该更加深入研究群众的需求，完善群众关注内容的公布，利用新媒体、短视频、公众号等及时进行宣传。</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楷体" w:hAnsi="楷体" w:eastAsia="楷体" w:cs="楷体"/>
          <w:i w:val="0"/>
          <w:caps w:val="0"/>
          <w:color w:val="auto"/>
          <w:spacing w:val="0"/>
          <w:sz w:val="32"/>
          <w:szCs w:val="32"/>
          <w:shd w:val="clear" w:color="auto" w:fill="FFFFFF"/>
          <w:lang w:val="en-US" w:eastAsia="zh-CN"/>
        </w:rPr>
      </w:pPr>
      <w:r>
        <w:rPr>
          <w:rFonts w:hint="eastAsia" w:ascii="楷体" w:hAnsi="楷体" w:eastAsia="楷体" w:cs="楷体"/>
          <w:i w:val="0"/>
          <w:caps w:val="0"/>
          <w:color w:val="auto"/>
          <w:spacing w:val="0"/>
          <w:sz w:val="32"/>
          <w:szCs w:val="32"/>
          <w:shd w:val="clear" w:color="auto" w:fill="FFFFFF"/>
          <w:lang w:val="en-US" w:eastAsia="zh-CN"/>
        </w:rPr>
        <w:t>（二）改进情况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2024年，我镇将从以下几个方面进行改进：首先，更加深入研究群众的需求，完善群众关注内容的公布，利用新媒体、短视频、公众号等及时进行宣传。同时，应加强信息公开方面培训，结合相关部门对信息公开进行调研指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六、其他需要报告的事项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2023年，无涉及《政府信息公开信息处理费管理办法》中规定的收取信息处理费情况。</w:t>
      </w:r>
    </w:p>
    <w:bookmarkEnd w:id="0"/>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方正仿宋_GB2312" w:hAnsi="方正仿宋_GB2312" w:eastAsia="方正仿宋_GB2312" w:cs="方正仿宋_GB2312"/>
          <w:b/>
          <w:bCs/>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7047DD2-FE20-4FB1-BC44-E7CC92A92BB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47CE2079-2956-4E69-BA30-4C0D3FDA362C}"/>
  </w:font>
  <w:font w:name="方正仿宋_GB2312">
    <w:panose1 w:val="02000000000000000000"/>
    <w:charset w:val="86"/>
    <w:family w:val="auto"/>
    <w:pitch w:val="default"/>
    <w:sig w:usb0="A00002BF" w:usb1="184F6CFA" w:usb2="00000012" w:usb3="00000000" w:csb0="00040001" w:csb1="00000000"/>
    <w:embedRegular r:id="rId3" w:fontKey="{CADA0887-4B38-47B7-A896-710609187AC8}"/>
  </w:font>
  <w:font w:name="楷体">
    <w:panose1 w:val="02010609060101010101"/>
    <w:charset w:val="86"/>
    <w:family w:val="auto"/>
    <w:pitch w:val="default"/>
    <w:sig w:usb0="800002BF" w:usb1="38CF7CFA" w:usb2="00000016" w:usb3="00000000" w:csb0="00040001" w:csb1="00000000"/>
    <w:embedRegular r:id="rId4" w:fontKey="{A21C2A54-686E-45C3-B987-723F8D86B6A1}"/>
  </w:font>
  <w:font w:name="仿宋">
    <w:panose1 w:val="02010609060101010101"/>
    <w:charset w:val="86"/>
    <w:family w:val="auto"/>
    <w:pitch w:val="default"/>
    <w:sig w:usb0="800002BF" w:usb1="38CF7CFA" w:usb2="00000016" w:usb3="00000000" w:csb0="00040001" w:csb1="00000000"/>
    <w:embedRegular r:id="rId5" w:fontKey="{CF672C4E-D2A6-4043-AEDF-8D0A19ED9CA6}"/>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2E4E18"/>
    <w:multiLevelType w:val="singleLevel"/>
    <w:tmpl w:val="8C2E4E18"/>
    <w:lvl w:ilvl="0" w:tentative="0">
      <w:start w:val="2"/>
      <w:numFmt w:val="chineseCounting"/>
      <w:suff w:val="nothing"/>
      <w:lvlText w:val="%1、"/>
      <w:lvlJc w:val="left"/>
      <w:rPr>
        <w:rFonts w:hint="eastAsia"/>
      </w:rPr>
    </w:lvl>
  </w:abstractNum>
  <w:abstractNum w:abstractNumId="1">
    <w:nsid w:val="23C5C880"/>
    <w:multiLevelType w:val="singleLevel"/>
    <w:tmpl w:val="23C5C880"/>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kODAwODA4ODkyODA5MGU5ZWFmZjY3NmE2YzE5MWEifQ=="/>
  </w:docVars>
  <w:rsids>
    <w:rsidRoot w:val="2FF51D9D"/>
    <w:rsid w:val="05E21073"/>
    <w:rsid w:val="09A435B8"/>
    <w:rsid w:val="14042D67"/>
    <w:rsid w:val="1B6358D3"/>
    <w:rsid w:val="1E5F4194"/>
    <w:rsid w:val="213276BA"/>
    <w:rsid w:val="2FF51D9D"/>
    <w:rsid w:val="36102B06"/>
    <w:rsid w:val="3E191E78"/>
    <w:rsid w:val="45C82EDD"/>
    <w:rsid w:val="4B1B057E"/>
    <w:rsid w:val="714146DF"/>
    <w:rsid w:val="7555446D"/>
    <w:rsid w:val="7E433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autoRedefine/>
    <w:qFormat/>
    <w:uiPriority w:val="0"/>
    <w:rPr>
      <w:b/>
    </w:rPr>
  </w:style>
  <w:style w:type="character" w:customStyle="1" w:styleId="8">
    <w:name w:val="font11"/>
    <w:basedOn w:val="6"/>
    <w:autoRedefine/>
    <w:qFormat/>
    <w:uiPriority w:val="0"/>
    <w:rPr>
      <w:rFonts w:hint="eastAsia" w:ascii="宋体" w:hAnsi="宋体" w:eastAsia="宋体" w:cs="宋体"/>
      <w:color w:val="000000"/>
      <w:sz w:val="20"/>
      <w:szCs w:val="20"/>
      <w:u w:val="none"/>
    </w:rPr>
  </w:style>
  <w:style w:type="character" w:customStyle="1" w:styleId="9">
    <w:name w:val="font31"/>
    <w:basedOn w:val="6"/>
    <w:autoRedefine/>
    <w:qFormat/>
    <w:uiPriority w:val="0"/>
    <w:rPr>
      <w:rFonts w:ascii="Calibri" w:hAnsi="Calibri" w:cs="Calibri"/>
      <w:color w:val="000000"/>
      <w:sz w:val="20"/>
      <w:szCs w:val="20"/>
      <w:u w:val="none"/>
    </w:rPr>
  </w:style>
  <w:style w:type="character" w:customStyle="1" w:styleId="10">
    <w:name w:val="font21"/>
    <w:basedOn w:val="6"/>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2024-01-11T06:47:00Z</dcterms:created>
  <dc:creator>Fickle.</dc:creator>
  <cp:lastModifiedBy>Fickle.</cp:lastModifiedBy>
  <dcterms:modified xsi:type="dcterms:W3CDTF">2024-02-05T03:21:50Z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01F54ED46EF640C89A0EAE0AEC910452_13</vt:lpwstr>
  </property>
</Properties>
</file>