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sz w:val="44"/>
          <w:szCs w:val="44"/>
          <w:lang w:val="en-US" w:eastAsia="zh-CN"/>
        </w:rPr>
        <w:t>商务局</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商务局，地址：哈尔滨市利民开发区南京路8号。邮编：150500。电话：0451-56830377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（一）主动公开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2023年，贯彻落实《条例》要求，完善工作机构。将政府信息公开列为全局工作的一项重要内容。本年度没有需要主动公开事项。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（二）依申请公开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2023年度我局未接到群众主动要求公开政府信息。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b w:val="0"/>
          <w:bCs w:val="0"/>
          <w:kern w:val="0"/>
          <w:sz w:val="32"/>
          <w:szCs w:val="32"/>
          <w:lang w:val="en-US" w:eastAsia="zh-CN"/>
        </w:rPr>
      </w:pPr>
      <w:r>
        <w:rPr>
          <w:rFonts w:hint="default" w:ascii="仿宋" w:hAnsi="仿宋" w:eastAsia="仿宋" w:cs="仿宋"/>
          <w:b w:val="0"/>
          <w:bCs w:val="0"/>
          <w:kern w:val="0"/>
          <w:sz w:val="32"/>
          <w:szCs w:val="32"/>
          <w:lang w:val="en-US" w:eastAsia="zh-CN"/>
        </w:rPr>
        <w:t>按照“放管服”改革要求，依托“互联网+政务服务”平台，规范权力运行全过程信息。系统梳理制发的规范性文件，列明文号、成文日期、发布时间、有效性等信息，提升规范性文件质量。</w:t>
      </w:r>
      <w:r>
        <w:rPr>
          <w:rFonts w:hint="eastAsia" w:ascii="仿宋" w:hAnsi="仿宋" w:eastAsia="仿宋" w:cs="仿宋"/>
          <w:b w:val="0"/>
          <w:bCs w:val="0"/>
          <w:kern w:val="0"/>
          <w:sz w:val="32"/>
          <w:szCs w:val="32"/>
          <w:lang w:val="en-US" w:eastAsia="zh-CN"/>
        </w:rPr>
        <w:t>做到应该公开的全部公开。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default" w:ascii="仿宋" w:hAnsi="仿宋" w:eastAsia="仿宋" w:cs="仿宋"/>
          <w:b w:val="0"/>
          <w:bCs w:val="0"/>
          <w:kern w:val="0"/>
          <w:sz w:val="32"/>
          <w:szCs w:val="32"/>
          <w:lang w:val="en-US" w:eastAsia="zh-CN"/>
        </w:rPr>
        <w:t>根据工作职能，对</w:t>
      </w:r>
      <w:r>
        <w:rPr>
          <w:rFonts w:hint="eastAsia" w:ascii="仿宋" w:hAnsi="仿宋" w:eastAsia="仿宋" w:cs="仿宋"/>
          <w:b w:val="0"/>
          <w:bCs w:val="0"/>
          <w:kern w:val="0"/>
          <w:sz w:val="32"/>
          <w:szCs w:val="32"/>
          <w:lang w:val="en-US" w:eastAsia="zh-CN"/>
        </w:rPr>
        <w:t>本</w:t>
      </w:r>
      <w:r>
        <w:rPr>
          <w:rFonts w:hint="default" w:ascii="仿宋" w:hAnsi="仿宋" w:eastAsia="仿宋" w:cs="仿宋"/>
          <w:b w:val="0"/>
          <w:bCs w:val="0"/>
          <w:kern w:val="0"/>
          <w:sz w:val="32"/>
          <w:szCs w:val="32"/>
          <w:lang w:val="en-US" w:eastAsia="zh-CN"/>
        </w:rPr>
        <w:t>单位政府信息公开平台下的网站栏目设置、内容建设、安全保障等方面</w:t>
      </w:r>
      <w:r>
        <w:rPr>
          <w:rFonts w:hint="eastAsia" w:ascii="仿宋" w:hAnsi="仿宋" w:eastAsia="仿宋" w:cs="仿宋"/>
          <w:b w:val="0"/>
          <w:bCs w:val="0"/>
          <w:kern w:val="0"/>
          <w:sz w:val="32"/>
          <w:szCs w:val="32"/>
          <w:lang w:val="en-US" w:eastAsia="zh-CN"/>
        </w:rPr>
        <w:t>进行</w:t>
      </w:r>
      <w:r>
        <w:rPr>
          <w:rFonts w:hint="default" w:ascii="仿宋" w:hAnsi="仿宋" w:eastAsia="仿宋" w:cs="仿宋"/>
          <w:b w:val="0"/>
          <w:bCs w:val="0"/>
          <w:kern w:val="0"/>
          <w:sz w:val="32"/>
          <w:szCs w:val="32"/>
          <w:lang w:val="en-US" w:eastAsia="zh-CN"/>
        </w:rPr>
        <w:t>优化。进一步建立健全工作机制，定期</w:t>
      </w:r>
      <w:r>
        <w:rPr>
          <w:rFonts w:hint="eastAsia" w:ascii="仿宋" w:hAnsi="仿宋" w:eastAsia="仿宋" w:cs="仿宋"/>
          <w:b w:val="0"/>
          <w:bCs w:val="0"/>
          <w:kern w:val="0"/>
          <w:sz w:val="32"/>
          <w:szCs w:val="32"/>
          <w:lang w:val="en-US" w:eastAsia="zh-CN"/>
        </w:rPr>
        <w:t>本单位</w:t>
      </w:r>
      <w:r>
        <w:rPr>
          <w:rFonts w:hint="default" w:ascii="仿宋" w:hAnsi="仿宋" w:eastAsia="仿宋" w:cs="仿宋"/>
          <w:b w:val="0"/>
          <w:bCs w:val="0"/>
          <w:kern w:val="0"/>
          <w:sz w:val="32"/>
          <w:szCs w:val="32"/>
          <w:lang w:val="en-US" w:eastAsia="zh-CN"/>
        </w:rPr>
        <w:t>政府信息发布情况，督促各责任主体做好政务公开工作。对出台的重要文件、年度工作要点，逐项明确牵头责任主体、时间节点和相关措施，确保每项任务有人抓、能落实。及时召开局全体干部会议学习上级政策文件，谋深谋细谋实政务公开工作。加强行业指导，开展政务公开工作业务培训，形成了协调配合、密切联动的良好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lang w:val="en-US" w:eastAsia="zh-CN"/>
        </w:rPr>
        <w:t>五</w:t>
      </w:r>
      <w:r>
        <w:rPr>
          <w:rFonts w:hint="eastAsia" w:ascii="楷体" w:hAnsi="楷体" w:eastAsia="楷体" w:cs="楷体"/>
          <w:b w:val="0"/>
          <w:bCs w:val="0"/>
          <w:kern w:val="0"/>
          <w:sz w:val="32"/>
          <w:szCs w:val="32"/>
          <w:lang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明确局机关各科室在政府信息公开工作的分工和职责，</w:t>
      </w:r>
      <w:r>
        <w:rPr>
          <w:rFonts w:hint="default" w:ascii="仿宋" w:hAnsi="仿宋" w:eastAsia="仿宋" w:cs="仿宋"/>
          <w:b w:val="0"/>
          <w:bCs w:val="0"/>
          <w:kern w:val="0"/>
          <w:sz w:val="32"/>
          <w:szCs w:val="32"/>
          <w:lang w:val="en-US" w:eastAsia="zh-CN"/>
        </w:rPr>
        <w:t>对出台的重要文件、年度工作要点，逐项明确责任主体、时间节点和相关措施，确保每项任务有人抓、能落实。</w:t>
      </w:r>
      <w:r>
        <w:rPr>
          <w:rFonts w:hint="eastAsia" w:ascii="仿宋" w:hAnsi="仿宋" w:eastAsia="仿宋" w:cs="仿宋"/>
          <w:b w:val="0"/>
          <w:bCs w:val="0"/>
          <w:kern w:val="0"/>
          <w:sz w:val="32"/>
          <w:szCs w:val="32"/>
          <w:lang w:val="en-US" w:eastAsia="zh-CN"/>
        </w:rPr>
        <w:t>由具体工作人员负责政府信息公开工作和信息公开的日常维护工作。确保不漏报、不迟报、不误报。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rPr>
      </w:pPr>
    </w:p>
    <w:tbl>
      <w:tblPr>
        <w:tblStyle w:val="4"/>
        <w:tblpPr w:leftFromText="180" w:rightFromText="180" w:vertAnchor="text" w:horzAnchor="page" w:tblpXSpec="center" w:tblpY="600"/>
        <w:tblOverlap w:val="never"/>
        <w:tblW w:w="9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0"/>
        <w:gridCol w:w="2217"/>
        <w:gridCol w:w="2217"/>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960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60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960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60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lang w:val="en-US" w:eastAsia="zh-CN"/>
        </w:rPr>
        <w:t>一</w:t>
      </w: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lang w:val="en-US" w:eastAsia="zh-CN"/>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在2023年区商务局政务公开工作取得了一定的成绩，但对照公开办的要求，还存在着一定的问题和不足。对政务公开工作的监督和检查有待加强，依申请公开指导不够有力，对经验做法的总结还不够等。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在接下来的2024年里，我局将始终坚持问题导向，加强组织领导，加大工作力度，健全体制，明确责任，积极寻找突破口，充分发挥党组总揽全局、协调各方作用，完善一把手负总责、分管领导具体抓的工作责任制。明确职责分工，加强工作人员培训，提升工作人员素质，设立AB岗，严格按照规定的内容、程序、形式和时限公开政府信息，确保各项工作得到有效落实，促进我局政务公开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2023年，无涉及《政府信息公开信息处理费管理办法》中规定的收取信息处理费情况。</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8A37B-A5EC-4C48-92A4-20598F8C52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BC6645A-4214-42A0-B30A-B3B7D8134201}"/>
  </w:font>
  <w:font w:name="仿宋">
    <w:panose1 w:val="02010609060101010101"/>
    <w:charset w:val="86"/>
    <w:family w:val="auto"/>
    <w:pitch w:val="default"/>
    <w:sig w:usb0="800002BF" w:usb1="38CF7CFA" w:usb2="00000016" w:usb3="00000000" w:csb0="00040001" w:csb1="00000000"/>
    <w:embedRegular r:id="rId3" w:fontKey="{9B6BF114-E5BE-4D0B-BA69-425DF52AA335}"/>
  </w:font>
  <w:font w:name="方正仿宋_GB2312">
    <w:panose1 w:val="02000000000000000000"/>
    <w:charset w:val="86"/>
    <w:family w:val="auto"/>
    <w:pitch w:val="default"/>
    <w:sig w:usb0="A00002BF" w:usb1="184F6CFA" w:usb2="00000012" w:usb3="00000000" w:csb0="00040001" w:csb1="00000000"/>
    <w:embedRegular r:id="rId4" w:fontKey="{A3426E55-9C41-4B9C-B670-A64531ACB50E}"/>
  </w:font>
  <w:font w:name="楷体">
    <w:panose1 w:val="02010609060101010101"/>
    <w:charset w:val="86"/>
    <w:family w:val="auto"/>
    <w:pitch w:val="default"/>
    <w:sig w:usb0="800002BF" w:usb1="38CF7CFA" w:usb2="00000016" w:usb3="00000000" w:csb0="00040001" w:csb1="00000000"/>
    <w:embedRegular r:id="rId5" w:fontKey="{359C0D1D-60FE-443C-8022-C325D910A2D0}"/>
  </w:font>
  <w:font w:name="仿宋_GB2312">
    <w:panose1 w:val="02010609030101010101"/>
    <w:charset w:val="86"/>
    <w:family w:val="auto"/>
    <w:pitch w:val="default"/>
    <w:sig w:usb0="00000001" w:usb1="080E0000" w:usb2="00000000" w:usb3="00000000" w:csb0="00040000" w:csb1="00000000"/>
    <w:embedRegular r:id="rId6" w:fontKey="{0577AF82-9D59-43B9-9C61-66944D190E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F1523"/>
    <w:multiLevelType w:val="singleLevel"/>
    <w:tmpl w:val="FE6F15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3AF5CB7"/>
    <w:rsid w:val="07373174"/>
    <w:rsid w:val="1CBF313E"/>
    <w:rsid w:val="1E5F4194"/>
    <w:rsid w:val="2B973273"/>
    <w:rsid w:val="2FF51D9D"/>
    <w:rsid w:val="31A0703F"/>
    <w:rsid w:val="381273A1"/>
    <w:rsid w:val="3E191E78"/>
    <w:rsid w:val="4A1100BD"/>
    <w:rsid w:val="4B1B057E"/>
    <w:rsid w:val="4D721535"/>
    <w:rsid w:val="714146DF"/>
    <w:rsid w:val="73D01196"/>
    <w:rsid w:val="78BC725E"/>
    <w:rsid w:val="7BE4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31"/>
    <w:basedOn w:val="6"/>
    <w:autoRedefine/>
    <w:qFormat/>
    <w:uiPriority w:val="0"/>
    <w:rPr>
      <w:rFonts w:ascii="Calibri" w:hAnsi="Calibri" w:cs="Calibri"/>
      <w:color w:val="000000"/>
      <w:sz w:val="20"/>
      <w:szCs w:val="20"/>
      <w:u w:val="none"/>
    </w:rPr>
  </w:style>
  <w:style w:type="character" w:customStyle="1" w:styleId="11">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2024-02-06T03:04:37Z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77EBDB3665C44B82858D1693A444E10B_13</vt:lpwstr>
  </property>
</Properties>
</file>