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呼兰区财政局2023年政府信息公开工作</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年度报告</w:t>
      </w:r>
    </w:p>
    <w:p>
      <w:pPr>
        <w:spacing w:line="600"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财政局，地址：哈尔滨市呼兰区南京路8号。邮编：150500。电话：0451-57366528。</w:t>
      </w:r>
    </w:p>
    <w:p>
      <w:pPr>
        <w:pStyle w:val="11"/>
        <w:numPr>
          <w:ilvl w:val="0"/>
          <w:numId w:val="1"/>
        </w:numPr>
        <w:spacing w:line="600" w:lineRule="exact"/>
        <w:ind w:firstLineChars="0"/>
        <w:rPr>
          <w:rFonts w:ascii="黑体" w:hAnsi="黑体" w:eastAsia="黑体" w:cs="黑体"/>
          <w:sz w:val="32"/>
          <w:szCs w:val="32"/>
        </w:rPr>
      </w:pPr>
      <w:r>
        <w:rPr>
          <w:rFonts w:hint="eastAsia" w:ascii="黑体" w:hAnsi="黑体" w:eastAsia="黑体" w:cs="黑体"/>
          <w:sz w:val="32"/>
          <w:szCs w:val="32"/>
        </w:rPr>
        <w:t>总体情况</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2023年，我局坚持以习近平新时代中国特色社会主义思想为指导，认真贯彻落实《条例》和区委、区政府决策部署，坚持以人民为中心推进政务公开及财政信息公开工作，让社会公众更了解财政工作。</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（一）主动公开</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我局通过哈尔滨市呼兰区人民政府门户网站公开政府信息，2023年公开预决算及三公经费信息219条，财政直达资金等信息6条。</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（二）依申请公开</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我局明确依申请公开办理程序，规范依申请公开的受理、处理和答复等环节的运行，确保答复规范有序。2023年我局未收到依申请公开事项。</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（三）政府信息管理</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是拓宽公开范围。在部门预决算公开方面，在集中公开部门预决算的基础上，将预决算公开的主体细化到部门及所属单位，要求部门所属预算单位及时、准确、完整地公开单位预决算，实现了单位预决算公开范围全覆盖。二是规范公开内容。对公开范围、口径、格式和方式等进行了规范，并下发了制式的公开模板，既确保公开内容客观准确，也规避口径不一等情况。三是统一公开平台。要求所有预决算公开信息都要在平台集中公开。</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（四）政府信息公开平台建设</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哈尔滨市呼兰区人民政府门户网站是我局信息公开的第一平台，全面推进财政预决算、直达资金等重点领域信息公开，积极做好政策解读和回应工作，提升财政信息公开的影响力。</w:t>
      </w:r>
    </w:p>
    <w:p>
      <w:pPr>
        <w:numPr>
          <w:ilvl w:val="0"/>
          <w:numId w:val="2"/>
        </w:num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监督保障</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及时调整政务公开领导小组，切实履行好指导协调职能。领导小组下设办公室，负责我局政务信息公开、发布、解读和回应。同时，建立健全政务公开工作各项制度，严格依法依规做好对拟公开的政府信息保密审查，防止泄漏国家秘密、工作秘密和敏感信息。</w:t>
      </w:r>
    </w:p>
    <w:tbl>
      <w:tblPr>
        <w:tblStyle w:val="4"/>
        <w:tblpPr w:leftFromText="180" w:rightFromText="180" w:vertAnchor="text" w:horzAnchor="page" w:tblpXSpec="center" w:tblpY="600"/>
        <w:tblOverlap w:val="never"/>
        <w:tblW w:w="9813" w:type="dxa"/>
        <w:jc w:val="center"/>
        <w:tblLayout w:type="autofit"/>
        <w:tblCellMar>
          <w:top w:w="0" w:type="dxa"/>
          <w:left w:w="108" w:type="dxa"/>
          <w:bottom w:w="0" w:type="dxa"/>
          <w:right w:w="108" w:type="dxa"/>
        </w:tblCellMar>
      </w:tblPr>
      <w:tblGrid>
        <w:gridCol w:w="3162"/>
        <w:gridCol w:w="2217"/>
        <w:gridCol w:w="2217"/>
        <w:gridCol w:w="2217"/>
      </w:tblGrid>
      <w:tr>
        <w:tblPrEx>
          <w:tblCellMar>
            <w:top w:w="0" w:type="dxa"/>
            <w:left w:w="108" w:type="dxa"/>
            <w:bottom w:w="0" w:type="dxa"/>
            <w:right w:w="108" w:type="dxa"/>
          </w:tblCellMar>
        </w:tblPrEx>
        <w:trPr>
          <w:trHeight w:val="249" w:hRule="exact"/>
          <w:jc w:val="center"/>
        </w:trPr>
        <w:tc>
          <w:tcPr>
            <w:tcW w:w="981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第二十条第（一）项</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现行有效件数</w:t>
            </w:r>
          </w:p>
        </w:tc>
      </w:tr>
      <w:tr>
        <w:tblPrEx>
          <w:tblCellMar>
            <w:top w:w="0" w:type="dxa"/>
            <w:left w:w="108" w:type="dxa"/>
            <w:bottom w:w="0" w:type="dxa"/>
            <w:right w:w="108" w:type="dxa"/>
          </w:tblCellMar>
        </w:tblPrEx>
        <w:trPr>
          <w:trHeight w:val="214"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249" w:hRule="exact"/>
          <w:jc w:val="center"/>
        </w:trPr>
        <w:tc>
          <w:tcPr>
            <w:tcW w:w="981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第二十条第（五）项</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本年处理决定数量</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249" w:hRule="exact"/>
          <w:jc w:val="center"/>
        </w:trPr>
        <w:tc>
          <w:tcPr>
            <w:tcW w:w="981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第二十条第（六）项</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本年处理决定数量</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249" w:hRule="exact"/>
          <w:jc w:val="center"/>
        </w:trPr>
        <w:tc>
          <w:tcPr>
            <w:tcW w:w="9813"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第二十条第（八）项</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本年收费金额（单位：万元）</w:t>
            </w:r>
          </w:p>
        </w:tc>
      </w:tr>
      <w:tr>
        <w:tblPrEx>
          <w:tblCellMar>
            <w:top w:w="0" w:type="dxa"/>
            <w:left w:w="108" w:type="dxa"/>
            <w:bottom w:w="0" w:type="dxa"/>
            <w:right w:w="108" w:type="dxa"/>
          </w:tblCellMar>
        </w:tblPrEx>
        <w:trPr>
          <w:trHeight w:val="249" w:hRule="exac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1218</w:t>
            </w:r>
          </w:p>
        </w:tc>
      </w:tr>
    </w:tbl>
    <w:p>
      <w:pPr>
        <w:numPr>
          <w:ilvl w:val="0"/>
          <w:numId w:val="3"/>
        </w:numPr>
        <w:spacing w:line="600" w:lineRule="exact"/>
        <w:ind w:firstLine="640"/>
        <w:rPr>
          <w:rFonts w:ascii="方正仿宋_GB2312" w:hAnsi="方正仿宋_GB2312" w:eastAsia="方正仿宋_GB2312" w:cs="方正仿宋_GB2312"/>
          <w:color w:val="C00000"/>
          <w:sz w:val="32"/>
          <w:szCs w:val="32"/>
        </w:rPr>
      </w:pPr>
      <w:r>
        <w:rPr>
          <w:rFonts w:hint="eastAsia" w:ascii="黑体" w:hAnsi="黑体" w:eastAsia="黑体" w:cs="黑体"/>
          <w:sz w:val="32"/>
          <w:szCs w:val="32"/>
        </w:rPr>
        <w:t>主动公开政府信息情况</w:t>
      </w: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4"/>
        <w:tblW w:w="9705" w:type="dxa"/>
        <w:jc w:val="center"/>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申请人情况</w:t>
            </w:r>
          </w:p>
        </w:tc>
      </w:tr>
      <w:tr>
        <w:tblPrEx>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总计</w:t>
            </w:r>
          </w:p>
        </w:tc>
      </w:tr>
      <w:tr>
        <w:tblPrEx>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737" w:type="dxa"/>
            <w:tcBorders>
              <w:top w:val="single" w:color="000000" w:sz="4" w:space="0"/>
              <w:left w:val="single" w:color="000000" w:sz="4" w:space="0"/>
              <w:right w:val="single" w:color="000000" w:sz="4" w:space="0"/>
            </w:tcBorders>
            <w:shd w:val="clear" w:color="auto" w:fill="auto"/>
            <w:vAlign w:val="center"/>
          </w:tcPr>
          <w:p>
            <w:pPr>
              <w:snapToGrid w:val="0"/>
              <w:spacing w:line="280" w:lineRule="exact"/>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商业</w:t>
            </w:r>
          </w:p>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科研</w:t>
            </w:r>
          </w:p>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社会</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公益</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法律</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服务</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80" w:lineRule="exact"/>
              <w:jc w:val="right"/>
              <w:rPr>
                <w:rFonts w:asciiTheme="minorEastAsia" w:hAnsiTheme="minorEastAsia" w:cstheme="minorEastAsia"/>
                <w:sz w:val="20"/>
                <w:szCs w:val="20"/>
              </w:rPr>
            </w:pPr>
            <w:r>
              <w:rPr>
                <w:rFonts w:hint="eastAsia" w:asciiTheme="minorEastAsia" w:hAnsiTheme="minorEastAsia" w:cstheme="minorEastAsia"/>
                <w:sz w:val="20"/>
                <w:szCs w:val="20"/>
              </w:rPr>
              <w:t xml:space="preserve">                      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599" w:type="dxa"/>
        <w:jc w:val="center"/>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行政诉讼</w:t>
            </w:r>
          </w:p>
        </w:tc>
      </w:tr>
      <w:tr>
        <w:tblPrEx>
          <w:tblCellMar>
            <w:top w:w="0" w:type="dxa"/>
            <w:left w:w="108" w:type="dxa"/>
            <w:bottom w:w="0" w:type="dxa"/>
            <w:right w:w="108" w:type="dxa"/>
          </w:tblCellMar>
        </w:tblPrEx>
        <w:trPr>
          <w:trHeight w:val="312"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维</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纠</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其</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他</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尚</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未</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审</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总</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复议后起诉</w:t>
            </w: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维</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纠</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其</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他</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尚</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未</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审</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总</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维</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纠</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其</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他</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尚</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未</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审</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总</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计</w:t>
            </w: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bl>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2023年，我局认真落实政务公开各项工作任务，扎实开展财政信息公开工作，但仍存在不足之处。一是信息公开的广度和深度不足，财政资金的政策解读不多。二是政府信息公开工作人员专业能</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力有待提高。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在接下来的2024年里，我局将在以下几个方面进行改进。</w:t>
      </w:r>
      <w:r>
        <w:rPr>
          <w:rFonts w:hint="eastAsia" w:ascii="仿宋" w:hAnsi="仿宋" w:eastAsia="仿宋" w:cs="仿宋"/>
          <w:color w:val="000000" w:themeColor="text1"/>
          <w:sz w:val="32"/>
          <w:szCs w:val="32"/>
          <w14:textFill>
            <w14:solidFill>
              <w14:schemeClr w14:val="tx1"/>
            </w14:solidFill>
          </w14:textFill>
        </w:rPr>
        <w:t>一是积极参加信息公开业务培训学习，掌握信息公开工作的流程、制度和要求，提高政务信息公开工作水平。二是进一步落实上级政策的解读工作，丰富解读方式，加强公开的深度和广度，更加积极主动接受社会各界的</w:t>
      </w:r>
      <w:r>
        <w:rPr>
          <w:rFonts w:hint="eastAsia" w:ascii="仿宋" w:hAnsi="仿宋" w:eastAsia="仿宋" w:cs="仿宋"/>
          <w:color w:val="000000" w:themeColor="text1"/>
          <w:sz w:val="32"/>
          <w:szCs w:val="32"/>
          <w:lang w:val="en-US" w:eastAsia="zh-CN"/>
          <w14:textFill>
            <w14:solidFill>
              <w14:schemeClr w14:val="tx1"/>
            </w14:solidFill>
          </w14:textFill>
        </w:rPr>
        <w:t>监督。</w:t>
      </w:r>
      <w:r>
        <w:rPr>
          <w:rFonts w:hint="eastAsia" w:ascii="仿宋" w:hAnsi="仿宋" w:eastAsia="仿宋" w:cs="仿宋"/>
          <w:color w:val="000000" w:themeColor="text1"/>
          <w:sz w:val="32"/>
          <w:szCs w:val="32"/>
          <w14:textFill>
            <w14:solidFill>
              <w14:schemeClr w14:val="tx1"/>
            </w14:solidFill>
          </w14:textFill>
        </w:rPr>
        <w:t>三是严格落实信息公开保密审查等相关要求，确保单位和个人不发生泄密现象。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2023年，无涉及《政府信息公开信息处理费管理办法》中规定的收取信息处理费情况。</w:t>
      </w:r>
    </w:p>
    <w:p>
      <w:pPr>
        <w:spacing w:line="600" w:lineRule="exact"/>
        <w:ind w:firstLine="640" w:firstLineChars="200"/>
        <w:rPr>
          <w:rFonts w:ascii="方正仿宋_GB2312" w:hAnsi="方正仿宋_GB2312" w:eastAsia="方正仿宋_GB2312" w:cs="方正仿宋_GB2312"/>
          <w:sz w:val="32"/>
          <w:szCs w:val="32"/>
        </w:rPr>
      </w:pPr>
    </w:p>
    <w:p>
      <w:pPr>
        <w:spacing w:line="600" w:lineRule="exact"/>
        <w:ind w:firstLine="640" w:firstLineChars="200"/>
        <w:rPr>
          <w:rFonts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373AA2-6089-4191-968B-5E8F5037CC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B6FE090-59B1-4AB4-A327-217D87FF1245}"/>
  </w:font>
  <w:font w:name="方正仿宋_GB2312">
    <w:panose1 w:val="02000000000000000000"/>
    <w:charset w:val="86"/>
    <w:family w:val="auto"/>
    <w:pitch w:val="default"/>
    <w:sig w:usb0="A00002BF" w:usb1="184F6CFA" w:usb2="00000012" w:usb3="00000000" w:csb0="00040001" w:csb1="00000000"/>
    <w:embedRegular r:id="rId3" w:fontKey="{71C974A3-40AC-4EDA-9418-3D8D0A0F05C3}"/>
  </w:font>
  <w:font w:name="楷体">
    <w:panose1 w:val="02010609060101010101"/>
    <w:charset w:val="86"/>
    <w:family w:val="modern"/>
    <w:pitch w:val="default"/>
    <w:sig w:usb0="800002BF" w:usb1="38CF7CFA" w:usb2="00000016" w:usb3="00000000" w:csb0="00040001" w:csb1="00000000"/>
    <w:embedRegular r:id="rId4" w:fontKey="{2D5FF729-78B2-41B6-B847-D4B15357214A}"/>
  </w:font>
  <w:font w:name="仿宋">
    <w:panose1 w:val="02010609060101010101"/>
    <w:charset w:val="86"/>
    <w:family w:val="auto"/>
    <w:pitch w:val="default"/>
    <w:sig w:usb0="800002BF" w:usb1="38CF7CFA" w:usb2="00000016" w:usb3="00000000" w:csb0="00040001" w:csb1="00000000"/>
    <w:embedRegular r:id="rId5" w:fontKey="{AFE5C1AC-DA30-4B80-9A19-14A94F9EF3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4E18"/>
    <w:multiLevelType w:val="singleLevel"/>
    <w:tmpl w:val="8C2E4E18"/>
    <w:lvl w:ilvl="0" w:tentative="0">
      <w:start w:val="2"/>
      <w:numFmt w:val="chineseCounting"/>
      <w:suff w:val="nothing"/>
      <w:lvlText w:val="%1、"/>
      <w:lvlJc w:val="left"/>
      <w:rPr>
        <w:rFonts w:hint="eastAsia" w:ascii="黑体" w:hAnsi="黑体" w:eastAsia="黑体" w:cs="黑体"/>
        <w:color w:val="auto"/>
      </w:rPr>
    </w:lvl>
  </w:abstractNum>
  <w:abstractNum w:abstractNumId="1">
    <w:nsid w:val="23C5C880"/>
    <w:multiLevelType w:val="singleLevel"/>
    <w:tmpl w:val="23C5C880"/>
    <w:lvl w:ilvl="0" w:tentative="0">
      <w:start w:val="5"/>
      <w:numFmt w:val="chineseCounting"/>
      <w:suff w:val="nothing"/>
      <w:lvlText w:val="（%1）"/>
      <w:lvlJc w:val="left"/>
      <w:rPr>
        <w:rFonts w:hint="eastAsia"/>
      </w:rPr>
    </w:lvl>
  </w:abstractNum>
  <w:abstractNum w:abstractNumId="2">
    <w:nsid w:val="7C841CE5"/>
    <w:multiLevelType w:val="multilevel"/>
    <w:tmpl w:val="7C841CE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NlNTIwNjUzMjczZjI4Yjk1MDY3NDhmOTIzMTUifQ=="/>
  </w:docVars>
  <w:rsids>
    <w:rsidRoot w:val="2FF51D9D"/>
    <w:rsid w:val="0026214F"/>
    <w:rsid w:val="002A2C84"/>
    <w:rsid w:val="00973FE3"/>
    <w:rsid w:val="00A65475"/>
    <w:rsid w:val="08394C0F"/>
    <w:rsid w:val="0EEF11E8"/>
    <w:rsid w:val="18FF7EBF"/>
    <w:rsid w:val="1E5F4194"/>
    <w:rsid w:val="21E6650E"/>
    <w:rsid w:val="23A0682B"/>
    <w:rsid w:val="2FF51D9D"/>
    <w:rsid w:val="3E191E78"/>
    <w:rsid w:val="4B1B057E"/>
    <w:rsid w:val="4E0901B9"/>
    <w:rsid w:val="7141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spacing w:before="100" w:after="100"/>
      <w:jc w:val="left"/>
    </w:pPr>
    <w:rPr>
      <w:sz w:val="24"/>
      <w:szCs w:val="22"/>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autoRedefine/>
    <w:qFormat/>
    <w:uiPriority w:val="0"/>
    <w:rPr>
      <w:b/>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432</Words>
  <Characters>2466</Characters>
  <Lines>20</Lines>
  <Paragraphs>5</Paragraphs>
  <TotalTime>4</TotalTime>
  <ScaleCrop>false</ScaleCrop>
  <LinksUpToDate>false</LinksUpToDate>
  <CharactersWithSpaces>2893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2024-02-05T12:06:46Z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3D63917CECAE4B11908330940357C520_13</vt:lpwstr>
  </property>
</Properties>
</file>