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6" w:lineRule="atLeast"/>
        <w:ind w:left="0" w:right="0" w:firstLine="0"/>
        <w:jc w:val="center"/>
        <w:rPr>
          <w:rFonts w:hint="eastAsia" w:ascii="黑体" w:hAnsi="黑体" w:eastAsia="黑体" w:cs="黑体"/>
          <w:b w:val="0"/>
          <w:bCs w:val="0"/>
          <w:i w:val="0"/>
          <w:iCs w:val="0"/>
          <w:caps w:val="0"/>
          <w:color w:val="000000" w:themeColor="text1"/>
          <w:spacing w:val="0"/>
          <w:sz w:val="47"/>
          <w:szCs w:val="47"/>
          <w14:textFill>
            <w14:solidFill>
              <w14:schemeClr w14:val="tx1"/>
            </w14:solidFill>
          </w14:textFill>
        </w:rPr>
      </w:pPr>
      <w:r>
        <w:rPr>
          <w:rFonts w:hint="eastAsia" w:ascii="方正小标宋_GBK" w:hAnsi="方正小标宋_GBK" w:eastAsia="方正小标宋_GBK" w:cs="方正小标宋_GBK"/>
          <w:b w:val="0"/>
          <w:bCs w:val="0"/>
          <w:i w:val="0"/>
          <w:iCs w:val="0"/>
          <w:caps w:val="0"/>
          <w:color w:val="000000" w:themeColor="text1"/>
          <w:spacing w:val="0"/>
          <w:sz w:val="47"/>
          <w:szCs w:val="47"/>
          <w14:textFill>
            <w14:solidFill>
              <w14:schemeClr w14:val="tx1"/>
            </w14:solidFill>
          </w14:textFill>
        </w:rPr>
        <w:t>呼兰区2023年政府信息公开工作年度报告</w:t>
      </w:r>
    </w:p>
    <w:p>
      <w:pPr>
        <w:pStyle w:val="4"/>
        <w:keepNext w:val="0"/>
        <w:keepLines w:val="0"/>
        <w:pageBreakBefore w:val="0"/>
        <w:widowControl w:val="0"/>
        <w:kinsoku/>
        <w:wordWrap/>
        <w:overflowPunct/>
        <w:topLinePunct w:val="0"/>
        <w:bidi w:val="0"/>
        <w:adjustRightInd/>
        <w:snapToGrid/>
        <w:spacing w:line="600" w:lineRule="exact"/>
        <w:ind w:left="0" w:right="0" w:firstLine="639"/>
        <w:contextualSpacing/>
        <w:jc w:val="both"/>
        <w:textAlignment w:val="auto"/>
        <w:rPr>
          <w:rFonts w:hint="eastAsia" w:ascii="Times New Roman" w:hAnsi="Times New Roman" w:eastAsia="仿宋_GB2312" w:cs="Times New Roman"/>
          <w:color w:val="auto"/>
          <w:kern w:val="0"/>
          <w:sz w:val="32"/>
          <w:szCs w:val="32"/>
          <w:lang w:val="en-US" w:eastAsia="zh-CN" w:bidi="zh-CN"/>
        </w:rPr>
      </w:pPr>
    </w:p>
    <w:p>
      <w:pPr>
        <w:pStyle w:val="2"/>
        <w:keepNext w:val="0"/>
        <w:keepLines w:val="0"/>
        <w:pageBreakBefore w:val="0"/>
        <w:widowControl w:val="0"/>
        <w:kinsoku/>
        <w:wordWrap w:val="0"/>
        <w:overflowPunct/>
        <w:topLinePunct w:val="0"/>
        <w:autoSpaceDE/>
        <w:autoSpaceDN/>
        <w:bidi w:val="0"/>
        <w:adjustRightInd/>
        <w:snapToGrid/>
        <w:spacing w:after="0" w:line="600" w:lineRule="exact"/>
        <w:ind w:left="0" w:leftChars="0" w:right="0" w:firstLine="640" w:firstLineChars="200"/>
        <w:textAlignment w:val="auto"/>
        <w:rPr>
          <w:rFonts w:hint="eastAsia" w:ascii="Times New Roman" w:hAnsi="Times New Roman" w:eastAsia="仿宋_GB2312" w:cs="Times New Roman"/>
          <w:color w:val="auto"/>
          <w:kern w:val="0"/>
          <w:sz w:val="32"/>
          <w:szCs w:val="32"/>
          <w:lang w:val="en-US" w:eastAsia="zh-CN" w:bidi="zh-CN"/>
        </w:rPr>
      </w:pPr>
      <w:r>
        <w:rPr>
          <w:rFonts w:hint="eastAsia" w:ascii="Times New Roman" w:hAnsi="Times New Roman" w:eastAsia="仿宋_GB2312" w:cs="Times New Roman"/>
          <w:color w:val="auto"/>
          <w:kern w:val="0"/>
          <w:sz w:val="32"/>
          <w:szCs w:val="32"/>
          <w:lang w:val="en-US" w:eastAsia="zh-CN" w:bidi="zh-CN"/>
        </w:rPr>
        <w:t>本年度报告根据《中华人民共和国政府信息公开条例》（以下简称《条例》）和《国务院办公厅政府信息与政务公开办公室关于印发中华人民共和国政府信息公开工作年度报告格式的通知》（国办公开办函〔2021〕30号）相关要求编制而成。报告中所列数据统计期限自2023年1月1日起至2023年12月31日止。本年度报告的电子版可通过哈尔滨市人民政府门户网站→政务公开</w:t>
      </w:r>
      <w:r>
        <w:rPr>
          <w:rFonts w:hint="eastAsia" w:eastAsia="仿宋_GB2312" w:cs="Times New Roman"/>
          <w:color w:val="auto"/>
          <w:kern w:val="0"/>
          <w:sz w:val="32"/>
          <w:szCs w:val="32"/>
          <w:lang w:val="en-US" w:eastAsia="zh-CN" w:bidi="zh-CN"/>
        </w:rPr>
        <w:t>栏目</w:t>
      </w:r>
      <w:r>
        <w:rPr>
          <w:rFonts w:hint="eastAsia" w:ascii="Times New Roman" w:hAnsi="Times New Roman" w:eastAsia="仿宋_GB2312" w:cs="Times New Roman"/>
          <w:color w:val="auto"/>
          <w:kern w:val="0"/>
          <w:sz w:val="32"/>
          <w:szCs w:val="32"/>
          <w:lang w:val="en-US" w:eastAsia="zh-CN" w:bidi="zh-CN"/>
        </w:rPr>
        <w:t>→政府信息公开年报专栏→区、县（市）政府信息公开年度报告查阅下载（http://www.hulan.gov.cn/hebhlq/2023/zfxxgklby_zc.shtml）如对本报告有疑问，请联系哈尔滨市呼兰区人民政府办公室</w:t>
      </w:r>
      <w:r>
        <w:rPr>
          <w:rFonts w:hint="eastAsia" w:eastAsia="仿宋_GB2312" w:cs="Times New Roman"/>
          <w:color w:val="auto"/>
          <w:kern w:val="0"/>
          <w:sz w:val="32"/>
          <w:szCs w:val="32"/>
          <w:lang w:val="en-US" w:eastAsia="zh-CN" w:bidi="zh-CN"/>
        </w:rPr>
        <w:t>，</w:t>
      </w:r>
      <w:r>
        <w:rPr>
          <w:rFonts w:hint="eastAsia" w:ascii="Times New Roman" w:hAnsi="Times New Roman" w:eastAsia="仿宋_GB2312" w:cs="Times New Roman"/>
          <w:color w:val="auto"/>
          <w:kern w:val="0"/>
          <w:sz w:val="32"/>
          <w:szCs w:val="32"/>
          <w:lang w:val="en-US" w:eastAsia="zh-CN" w:bidi="zh-CN"/>
        </w:rPr>
        <w:t>地址：哈尔滨市呼兰区南京路8号。邮编：150500。电话：0451-57321230。</w:t>
      </w:r>
    </w:p>
    <w:p>
      <w:pPr>
        <w:pStyle w:val="4"/>
        <w:keepNext w:val="0"/>
        <w:keepLines w:val="0"/>
        <w:pageBreakBefore w:val="0"/>
        <w:widowControl w:val="0"/>
        <w:numPr>
          <w:ilvl w:val="0"/>
          <w:numId w:val="1"/>
        </w:numPr>
        <w:kinsoku/>
        <w:wordWrap/>
        <w:overflowPunct/>
        <w:topLinePunct w:val="0"/>
        <w:bidi w:val="0"/>
        <w:adjustRightInd/>
        <w:snapToGrid/>
        <w:spacing w:line="600" w:lineRule="exact"/>
        <w:ind w:left="0" w:firstLine="640" w:firstLineChars="200"/>
        <w:contextualSpacing/>
        <w:jc w:val="both"/>
        <w:textAlignment w:val="auto"/>
        <w:rPr>
          <w:rFonts w:hint="eastAsia" w:ascii="黑体" w:eastAsia="黑体"/>
          <w:color w:val="auto"/>
        </w:rPr>
      </w:pPr>
      <w:r>
        <w:rPr>
          <w:rFonts w:hint="eastAsia" w:ascii="黑体" w:eastAsia="黑体"/>
          <w:color w:val="auto"/>
        </w:rPr>
        <w:t>总体情况</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color w:val="auto"/>
          <w:kern w:val="0"/>
          <w:sz w:val="32"/>
          <w:szCs w:val="32"/>
          <w:lang w:val="en-US" w:eastAsia="zh-CN" w:bidi="zh-CN"/>
        </w:rPr>
      </w:pPr>
      <w:r>
        <w:rPr>
          <w:rFonts w:hint="eastAsia" w:ascii="Times New Roman" w:hAnsi="Times New Roman" w:eastAsia="仿宋_GB2312" w:cs="Times New Roman"/>
          <w:color w:val="auto"/>
          <w:kern w:val="0"/>
          <w:sz w:val="32"/>
          <w:szCs w:val="32"/>
          <w:lang w:val="en-US" w:eastAsia="zh-CN" w:bidi="zh-CN"/>
        </w:rPr>
        <w:t>2023年以来，呼兰区深入落实党中央、国务院关于全面推进政务公开工作的部署要求，认真执行《条例》，不断规范和提升政务公开工作，全面加强决策、执行、管理、服务、结果“五公开”，以公开助力深化“放管服”改革、优化营商环境，切实增强了人民群众满意度和获得感。</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color w:val="auto"/>
          <w:sz w:val="32"/>
          <w:szCs w:val="32"/>
          <w:lang w:val="zh-CN" w:eastAsia="zh-CN"/>
        </w:rPr>
        <w:t>（</w:t>
      </w:r>
      <w:r>
        <w:rPr>
          <w:rFonts w:hint="eastAsia" w:ascii="楷体" w:hAnsi="楷体" w:eastAsia="楷体" w:cs="楷体"/>
          <w:color w:val="auto"/>
          <w:sz w:val="32"/>
          <w:szCs w:val="32"/>
          <w:lang w:val="en-US" w:eastAsia="zh-CN"/>
        </w:rPr>
        <w:t>一）</w:t>
      </w:r>
      <w:r>
        <w:rPr>
          <w:rFonts w:hint="eastAsia" w:ascii="楷体" w:hAnsi="楷体" w:eastAsia="楷体" w:cs="楷体"/>
          <w:color w:val="auto"/>
          <w:sz w:val="32"/>
          <w:szCs w:val="32"/>
          <w:lang w:val="zh-CN" w:eastAsia="zh-CN"/>
        </w:rPr>
        <w:t>主动公开。</w:t>
      </w:r>
      <w:r>
        <w:rPr>
          <w:rFonts w:hint="eastAsia" w:ascii="Times New Roman" w:hAnsi="Times New Roman" w:eastAsia="仿宋_GB2312" w:cs="Times New Roman"/>
          <w:color w:val="auto"/>
          <w:kern w:val="0"/>
          <w:sz w:val="32"/>
          <w:szCs w:val="32"/>
          <w:lang w:val="en-US" w:eastAsia="zh-CN" w:bidi="zh-CN"/>
        </w:rPr>
        <w:t>严格落实制度，做好法定基础公开。细化重大决策、重大行政决策，严格落实重大行政决策公众参与、专家论证、风险评估、合法性审查等程序，实施决策全过程公开。利用行政服务大厅，增设政务公开专区，增设政府信息咨询台、资料阅览区、自助查询区和申请受理区等窗口，便于百姓直接获取政府信息。区政府网站主动公开各类政府信息2338条、图片153张、视频125个。呼兰区政府网微信公众号共发布信息452条。通过政府网站百姓谈栏目回应事件40次。</w:t>
      </w:r>
    </w:p>
    <w:p>
      <w:pPr>
        <w:keepNext w:val="0"/>
        <w:keepLines w:val="0"/>
        <w:pageBreakBefore w:val="0"/>
        <w:widowControl w:val="0"/>
        <w:kinsoku/>
        <w:wordWrap/>
        <w:overflowPunct/>
        <w:topLinePunct w:val="0"/>
        <w:bidi w:val="0"/>
        <w:adjustRightInd/>
        <w:snapToGrid/>
        <w:spacing w:line="600" w:lineRule="exact"/>
        <w:ind w:left="0" w:firstLine="640" w:firstLineChars="200"/>
        <w:contextualSpacing/>
        <w:jc w:val="both"/>
        <w:textAlignment w:val="auto"/>
        <w:rPr>
          <w:rFonts w:hint="eastAsia" w:ascii="方正仿宋_GB2312" w:hAnsi="方正仿宋_GB2312" w:eastAsia="方正仿宋_GB2312" w:cs="方正仿宋_GB2312"/>
          <w:sz w:val="32"/>
          <w:szCs w:val="32"/>
          <w:lang w:val="en-US" w:eastAsia="zh-CN"/>
        </w:rPr>
      </w:pPr>
      <w:r>
        <w:rPr>
          <w:rFonts w:hint="eastAsia" w:ascii="楷体" w:hAnsi="楷体" w:eastAsia="楷体" w:cs="楷体"/>
          <w:color w:val="auto"/>
          <w:sz w:val="32"/>
          <w:szCs w:val="32"/>
          <w:lang w:val="en-US" w:eastAsia="zh-CN"/>
        </w:rPr>
        <w:t>（二）</w:t>
      </w:r>
      <w:r>
        <w:rPr>
          <w:rFonts w:hint="eastAsia" w:ascii="楷体" w:hAnsi="楷体" w:eastAsia="楷体" w:cs="楷体"/>
          <w:color w:val="auto"/>
          <w:sz w:val="32"/>
          <w:szCs w:val="32"/>
          <w:lang w:val="zh-CN" w:eastAsia="zh-CN"/>
        </w:rPr>
        <w:t>依申请公开</w:t>
      </w:r>
      <w:r>
        <w:rPr>
          <w:rFonts w:hint="eastAsia" w:ascii="方正仿宋_GB2312" w:hAnsi="方正仿宋_GB2312" w:eastAsia="方正仿宋_GB2312" w:cs="方正仿宋_GB2312"/>
          <w:color w:val="auto"/>
          <w:sz w:val="32"/>
          <w:szCs w:val="32"/>
          <w:lang w:eastAsia="zh-CN"/>
        </w:rPr>
        <w:t>。</w:t>
      </w:r>
      <w:r>
        <w:rPr>
          <w:rFonts w:hint="eastAsia" w:ascii="Times New Roman" w:hAnsi="Times New Roman" w:eastAsia="仿宋_GB2312" w:cs="Times New Roman"/>
          <w:color w:val="auto"/>
          <w:kern w:val="0"/>
          <w:sz w:val="32"/>
          <w:szCs w:val="32"/>
          <w:lang w:val="en-US" w:eastAsia="zh-CN" w:bidi="zh-CN"/>
        </w:rPr>
        <w:t>坚持以人民为中心的工作理念，依托网上依申请公开平台，持续完善信息依申请公开工作全流程，为群众提供无纸化信息公开申请服务。进一步严格政府信息公开工作职责，不断强化对区政府相关部门、单位依申请公开办理的指导工作，提升履职效能。全年共收到依申请公开79件。</w:t>
      </w:r>
    </w:p>
    <w:p>
      <w:pPr>
        <w:pStyle w:val="8"/>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楷体" w:hAnsi="楷体" w:eastAsia="楷体" w:cs="楷体"/>
          <w:color w:val="auto"/>
          <w:sz w:val="32"/>
          <w:szCs w:val="32"/>
          <w:lang w:val="en-US" w:eastAsia="zh-CN"/>
        </w:rPr>
        <w:t>政府信息管理</w:t>
      </w:r>
      <w:r>
        <w:rPr>
          <w:rFonts w:hint="eastAsia" w:ascii="方正仿宋_GB2312" w:hAnsi="方正仿宋_GB2312" w:eastAsia="方正仿宋_GB2312" w:cs="方正仿宋_GB2312"/>
          <w:color w:val="auto"/>
          <w:sz w:val="32"/>
          <w:szCs w:val="32"/>
          <w:lang w:val="en-US" w:eastAsia="zh-CN"/>
        </w:rPr>
        <w:t>。</w:t>
      </w:r>
      <w:r>
        <w:rPr>
          <w:rFonts w:hint="eastAsia" w:ascii="Times New Roman" w:hAnsi="Times New Roman" w:eastAsia="仿宋_GB2312" w:cs="Times New Roman"/>
          <w:color w:val="auto"/>
          <w:kern w:val="0"/>
          <w:sz w:val="32"/>
          <w:szCs w:val="32"/>
          <w:lang w:val="en-US" w:eastAsia="zh-CN" w:bidi="zh-CN"/>
        </w:rPr>
        <w:t>不断加强政府网站信息发布的规范化、标准化管理，严格按照时限要求及时发布并实时更新法定主动公开内容，确保信息发布的准确性与时效性。一是动态调整优化信息公开目录，修改完善信息公开指南，突出信息公开重点，提高信息公开的时效性和针对性。二是做好规范性文件的管理及公开工作，明确标注规范性文件的名称、文号、发布机构、索引号、主题分类、成文及发布日期、有效性等要素，提高规范性文件公开质量和搜索功能准确性。</w:t>
      </w:r>
    </w:p>
    <w:p>
      <w:pPr>
        <w:keepNext w:val="0"/>
        <w:keepLines w:val="0"/>
        <w:pageBreakBefore w:val="0"/>
        <w:widowControl w:val="0"/>
        <w:numPr>
          <w:ilvl w:val="0"/>
          <w:numId w:val="2"/>
        </w:numPr>
        <w:kinsoku/>
        <w:wordWrap/>
        <w:overflowPunct/>
        <w:topLinePunct w:val="0"/>
        <w:bidi w:val="0"/>
        <w:adjustRightInd/>
        <w:snapToGrid/>
        <w:spacing w:line="600" w:lineRule="exact"/>
        <w:ind w:left="0" w:leftChars="0" w:firstLine="640" w:firstLineChars="200"/>
        <w:contextualSpacing/>
        <w:jc w:val="both"/>
        <w:textAlignment w:val="auto"/>
        <w:rPr>
          <w:rFonts w:hint="eastAsia" w:ascii="方正仿宋_GB2312" w:hAnsi="方正仿宋_GB2312" w:eastAsia="方正仿宋_GB2312" w:cs="方正仿宋_GB2312"/>
          <w:color w:val="auto"/>
          <w:sz w:val="32"/>
          <w:szCs w:val="32"/>
        </w:rPr>
      </w:pPr>
      <w:r>
        <w:rPr>
          <w:rFonts w:hint="eastAsia" w:ascii="楷体" w:hAnsi="楷体" w:eastAsia="楷体" w:cs="楷体"/>
          <w:color w:val="auto"/>
          <w:sz w:val="32"/>
          <w:szCs w:val="32"/>
          <w:lang w:val="en-US" w:eastAsia="zh-CN"/>
        </w:rPr>
        <w:t>政府信息公开平台建设。</w:t>
      </w:r>
      <w:r>
        <w:rPr>
          <w:rFonts w:hint="eastAsia" w:ascii="Times New Roman" w:hAnsi="Times New Roman" w:eastAsia="仿宋_GB2312" w:cs="Times New Roman"/>
          <w:color w:val="auto"/>
          <w:sz w:val="32"/>
          <w:szCs w:val="32"/>
          <w:lang w:val="en-US" w:eastAsia="zh-CN"/>
        </w:rPr>
        <w:t>围绕政务网站建设，对政务网的内容、栏目、页面进行重新梳理和规划，打造全新区政府门户形象，突出做好重点领域信息公开工作。围绕政务新媒体监管，印发《关于进一步加强政务新媒体信息发布管理工作的通知》等文件，落实政务新媒体检查制度，借助第三方技术机构大数据手段开展日常监测，新媒体管理运维机制进一步完善。</w:t>
      </w:r>
    </w:p>
    <w:p>
      <w:pPr>
        <w:keepNext w:val="0"/>
        <w:keepLines w:val="0"/>
        <w:pageBreakBefore w:val="0"/>
        <w:widowControl w:val="0"/>
        <w:numPr>
          <w:ilvl w:val="0"/>
          <w:numId w:val="2"/>
        </w:numPr>
        <w:kinsoku/>
        <w:wordWrap/>
        <w:overflowPunct/>
        <w:topLinePunct w:val="0"/>
        <w:bidi w:val="0"/>
        <w:adjustRightInd/>
        <w:snapToGrid/>
        <w:spacing w:line="600" w:lineRule="exact"/>
        <w:ind w:left="0" w:leftChars="0" w:firstLine="640" w:firstLineChars="200"/>
        <w:contextualSpacing/>
        <w:jc w:val="both"/>
        <w:textAlignment w:val="auto"/>
        <w:rPr>
          <w:rFonts w:ascii="黑体" w:hAnsi="仿宋_GB2312" w:eastAsia="黑体" w:cs="仿宋_GB2312"/>
          <w:color w:val="auto"/>
          <w:sz w:val="32"/>
          <w:szCs w:val="32"/>
          <w:lang w:val="zh-CN" w:bidi="zh-CN"/>
        </w:rPr>
      </w:pPr>
      <w:r>
        <w:rPr>
          <w:rFonts w:hint="eastAsia" w:ascii="楷体" w:hAnsi="楷体" w:eastAsia="楷体" w:cs="楷体"/>
          <w:color w:val="auto"/>
          <w:sz w:val="32"/>
          <w:szCs w:val="32"/>
          <w:lang w:val="en-US" w:eastAsia="zh-CN"/>
        </w:rPr>
        <w:t>监督保障。</w:t>
      </w:r>
      <w:r>
        <w:rPr>
          <w:rFonts w:hint="eastAsia" w:ascii="Times New Roman" w:hAnsi="Times New Roman" w:eastAsia="仿宋_GB2312" w:cs="Times New Roman"/>
          <w:color w:val="auto"/>
          <w:sz w:val="32"/>
          <w:szCs w:val="32"/>
          <w:lang w:val="en-US" w:eastAsia="zh-CN"/>
        </w:rPr>
        <w:t>充分发挥政务公开工作领导小组的牵头抓总、统筹协调作用，定期召开专题工作会议，研究部署政务公开工作。强化工作培训，2023年，组织全区范围工作专题培训2次，不断提升政务公开工作队伍综合素质和业务能力。进一步完善考核体系，优化考核方式、细化考评内容，采用日常抽查、季度检查、年度考核相结合的方式，加大日常考核比重，对政务公开工作进行常态化监管，落实政务公开定期检查通报机制，跟踪督促问题整改落实，规范有序开展考核工作。</w:t>
      </w:r>
    </w:p>
    <w:p>
      <w:pPr>
        <w:numPr>
          <w:ilvl w:val="0"/>
          <w:numId w:val="0"/>
        </w:numPr>
        <w:spacing w:line="580" w:lineRule="exact"/>
        <w:ind w:firstLine="640" w:firstLineChars="200"/>
        <w:contextualSpacing/>
        <w:jc w:val="both"/>
        <w:rPr>
          <w:rFonts w:ascii="黑体" w:hAnsi="仿宋_GB2312" w:eastAsia="黑体" w:cs="仿宋_GB2312"/>
          <w:color w:val="auto"/>
          <w:sz w:val="32"/>
          <w:szCs w:val="32"/>
          <w:lang w:val="zh-CN" w:bidi="zh-CN"/>
        </w:rPr>
      </w:pPr>
      <w:r>
        <w:rPr>
          <w:rFonts w:hint="eastAsia" w:ascii="黑体" w:hAnsi="仿宋_GB2312" w:eastAsia="黑体" w:cs="仿宋_GB2312"/>
          <w:color w:val="auto"/>
          <w:sz w:val="32"/>
          <w:szCs w:val="32"/>
          <w:lang w:val="zh-CN" w:bidi="zh-CN"/>
        </w:rPr>
        <w:t>二、主动公开政府信息情况</w:t>
      </w:r>
    </w:p>
    <w:tbl>
      <w:tblPr>
        <w:tblStyle w:val="11"/>
        <w:tblpPr w:leftFromText="180" w:rightFromText="180" w:vertAnchor="text" w:horzAnchor="page" w:tblpXSpec="center" w:tblpY="111"/>
        <w:tblOverlap w:val="never"/>
        <w:tblW w:w="96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17"/>
        <w:gridCol w:w="2217"/>
        <w:gridCol w:w="2217"/>
        <w:gridCol w:w="26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9697"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信息内容</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本年制发件数</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本年废止件数</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规章</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行政规范性文件</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4</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2</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9697"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信息内容</w:t>
            </w:r>
          </w:p>
        </w:tc>
        <w:tc>
          <w:tcPr>
            <w:tcW w:w="7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行政许可</w:t>
            </w:r>
          </w:p>
        </w:tc>
        <w:tc>
          <w:tcPr>
            <w:tcW w:w="7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30047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9697"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信息内容</w:t>
            </w:r>
          </w:p>
        </w:tc>
        <w:tc>
          <w:tcPr>
            <w:tcW w:w="7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行政处罚</w:t>
            </w:r>
          </w:p>
        </w:tc>
        <w:tc>
          <w:tcPr>
            <w:tcW w:w="7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548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行政强制</w:t>
            </w:r>
          </w:p>
        </w:tc>
        <w:tc>
          <w:tcPr>
            <w:tcW w:w="7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9697"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信息内容</w:t>
            </w:r>
          </w:p>
        </w:tc>
        <w:tc>
          <w:tcPr>
            <w:tcW w:w="7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行政事业性收费</w:t>
            </w:r>
          </w:p>
        </w:tc>
        <w:tc>
          <w:tcPr>
            <w:tcW w:w="7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4591.36</w:t>
            </w:r>
          </w:p>
        </w:tc>
      </w:tr>
    </w:tbl>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600" w:lineRule="exact"/>
        <w:ind w:firstLine="640" w:firstLineChars="200"/>
        <w:contextualSpacing/>
        <w:jc w:val="both"/>
        <w:textAlignment w:val="auto"/>
        <w:rPr>
          <w:rFonts w:hint="eastAsia" w:ascii="黑体" w:hAnsi="仿宋_GB2312" w:eastAsia="黑体" w:cs="仿宋_GB2312"/>
          <w:color w:val="auto"/>
          <w:sz w:val="32"/>
          <w:szCs w:val="32"/>
          <w:lang w:val="zh-CN" w:bidi="zh-CN"/>
        </w:rPr>
      </w:pPr>
      <w:r>
        <w:rPr>
          <w:rFonts w:hint="eastAsia" w:ascii="黑体" w:hAnsi="仿宋_GB2312" w:eastAsia="黑体" w:cs="仿宋_GB2312"/>
          <w:color w:val="auto"/>
          <w:sz w:val="32"/>
          <w:szCs w:val="32"/>
          <w:lang w:val="en-US" w:bidi="zh-CN"/>
        </w:rPr>
        <w:t>三、</w:t>
      </w:r>
      <w:r>
        <w:rPr>
          <w:rFonts w:hint="eastAsia" w:ascii="黑体" w:hAnsi="仿宋_GB2312" w:eastAsia="黑体" w:cs="仿宋_GB2312"/>
          <w:color w:val="auto"/>
          <w:sz w:val="32"/>
          <w:szCs w:val="32"/>
          <w:lang w:val="zh-CN" w:bidi="zh-CN"/>
        </w:rPr>
        <w:t>收到和处理政府信息公开申请情况</w:t>
      </w:r>
    </w:p>
    <w:tbl>
      <w:tblPr>
        <w:tblStyle w:val="11"/>
        <w:tblW w:w="97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1"/>
        <w:gridCol w:w="1054"/>
        <w:gridCol w:w="2520"/>
        <w:gridCol w:w="840"/>
        <w:gridCol w:w="737"/>
        <w:gridCol w:w="748"/>
        <w:gridCol w:w="825"/>
        <w:gridCol w:w="810"/>
        <w:gridCol w:w="720"/>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42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54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自然人</w:t>
            </w:r>
          </w:p>
        </w:tc>
        <w:tc>
          <w:tcPr>
            <w:tcW w:w="3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法人或其他组织</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商业</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科研</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社会</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公益</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组织</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法律</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服务</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机构</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其他</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企业</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机构</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一、本年新收政府信息公开申请数量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37</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二、上年结转政府信息公开申请数量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ind w:left="0" w:leftChars="0" w:firstLine="0" w:firstLineChars="0"/>
              <w:rPr>
                <w:rFonts w:hint="eastAsia" w:ascii="宋体" w:hAnsi="宋体" w:cs="宋体"/>
                <w:kern w:val="2"/>
                <w:sz w:val="20"/>
                <w:szCs w:val="20"/>
                <w:lang w:val="en-US" w:eastAsia="zh-CN" w:bidi="ar-SA"/>
              </w:rPr>
            </w:pPr>
            <w:r>
              <w:rPr>
                <w:rFonts w:hint="eastAsia" w:ascii="宋体" w:hAnsi="宋体" w:eastAsia="宋体" w:cs="宋体"/>
                <w:kern w:val="2"/>
                <w:sz w:val="20"/>
                <w:szCs w:val="20"/>
                <w:lang w:val="en-US" w:eastAsia="zh-CN" w:bidi="ar-SA"/>
              </w:rPr>
              <w:t>三、本年度办理结果</w:t>
            </w:r>
          </w:p>
          <w:p>
            <w:pPr>
              <w:pStyle w:val="2"/>
              <w:rPr>
                <w:rFonts w:hint="default" w:ascii="宋体" w:hAnsi="宋体" w:cs="宋体"/>
                <w:kern w:val="2"/>
                <w:sz w:val="20"/>
                <w:szCs w:val="20"/>
                <w:lang w:val="en-US" w:eastAsia="zh-CN" w:bidi="ar-SA"/>
              </w:rPr>
            </w:pPr>
          </w:p>
        </w:tc>
        <w:tc>
          <w:tcPr>
            <w:tcW w:w="3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（一）予以公开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12</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3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（二）部分公开（区分处理的，只计这一情形，不计其他情形）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13</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1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（三）不予公开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1.属于国家秘密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2.其他法律行政法规禁止公开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3.危及“三安全一稳定”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4.保护第三方合法权益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5.属于三类内部事务信息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6.属于四类过程性信息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7.属于行政执法案卷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8.属于行政查询事项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1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（四）无法提供</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1.本机关不掌握相关政府信息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8</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2.没有现成信息需要另行制作</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3.补正后申请内容仍不明确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1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（五）不予处理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1.信访举报投诉类申请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2.重复申请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3.要求提供公开出版物</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4.无正当理由大量反复申请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5.要求行政机关确认或重新出具已获取信息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1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（六）其他处理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1.申请人无正当理由逾期不补正、行政机关不再处理其政府信息公开申请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2.申请人逾期未按收费通知要求缴纳费用、行政机关不再处理其政府信息公开申请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3.其他</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p>
        </w:tc>
        <w:tc>
          <w:tcPr>
            <w:tcW w:w="3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（七）总计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36</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四、结转下年度继续办理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1</w:t>
            </w:r>
          </w:p>
        </w:tc>
      </w:tr>
    </w:tbl>
    <w:p>
      <w:pPr>
        <w:pStyle w:val="9"/>
        <w:widowControl/>
        <w:numPr>
          <w:ilvl w:val="0"/>
          <w:numId w:val="0"/>
        </w:numPr>
        <w:shd w:val="clear" w:color="auto" w:fill="FFFFFF"/>
        <w:spacing w:beforeAutospacing="0" w:afterAutospacing="0" w:line="580" w:lineRule="exact"/>
        <w:ind w:firstLine="640" w:firstLineChars="200"/>
        <w:contextualSpacing/>
        <w:jc w:val="both"/>
        <w:rPr>
          <w:rFonts w:hint="eastAsia" w:ascii="黑体" w:hAnsi="仿宋_GB2312" w:eastAsia="黑体" w:cs="仿宋_GB2312"/>
          <w:color w:val="auto"/>
          <w:sz w:val="32"/>
          <w:szCs w:val="32"/>
          <w:lang w:val="zh-CN" w:eastAsia="zh-CN" w:bidi="zh-CN"/>
        </w:rPr>
      </w:pPr>
      <w:r>
        <w:rPr>
          <w:rFonts w:hint="eastAsia" w:ascii="黑体" w:hAnsi="仿宋_GB2312" w:eastAsia="黑体" w:cs="仿宋_GB2312"/>
          <w:color w:val="auto"/>
          <w:sz w:val="32"/>
          <w:szCs w:val="32"/>
          <w:lang w:val="en-US" w:eastAsia="zh-CN" w:bidi="zh-CN"/>
        </w:rPr>
        <w:t>四、</w:t>
      </w:r>
      <w:r>
        <w:rPr>
          <w:rFonts w:hint="eastAsia" w:ascii="黑体" w:hAnsi="仿宋_GB2312" w:eastAsia="黑体" w:cs="仿宋_GB2312"/>
          <w:color w:val="auto"/>
          <w:sz w:val="32"/>
          <w:szCs w:val="32"/>
          <w:lang w:val="zh-CN" w:eastAsia="zh-CN" w:bidi="zh-CN"/>
        </w:rPr>
        <w:t>政府信息公开行政复议、行政诉讼情况</w:t>
      </w:r>
    </w:p>
    <w:tbl>
      <w:tblPr>
        <w:tblStyle w:val="11"/>
        <w:tblW w:w="96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3"/>
        <w:gridCol w:w="636"/>
        <w:gridCol w:w="636"/>
        <w:gridCol w:w="636"/>
        <w:gridCol w:w="637"/>
        <w:gridCol w:w="636"/>
        <w:gridCol w:w="636"/>
        <w:gridCol w:w="636"/>
        <w:gridCol w:w="636"/>
        <w:gridCol w:w="636"/>
        <w:gridCol w:w="636"/>
        <w:gridCol w:w="636"/>
        <w:gridCol w:w="636"/>
        <w:gridCol w:w="636"/>
        <w:gridCol w:w="6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32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行政复议</w:t>
            </w:r>
          </w:p>
        </w:tc>
        <w:tc>
          <w:tcPr>
            <w:tcW w:w="637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 w:hRule="atLeast"/>
          <w:jc w:val="center"/>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结</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果</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维</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持</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结</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果</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纠</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正</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其</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他</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结</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果</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尚</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未</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审</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结</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总</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计</w:t>
            </w:r>
          </w:p>
        </w:tc>
        <w:tc>
          <w:tcPr>
            <w:tcW w:w="318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未经复议直接起诉</w:t>
            </w:r>
          </w:p>
        </w:tc>
        <w:tc>
          <w:tcPr>
            <w:tcW w:w="3199"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318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319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318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319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结</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果</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维</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持</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结</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果</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纠</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正</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其</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他</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结</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果</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尚</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未</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审</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结</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总</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计</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结</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果</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维</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持</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结</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果</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纠</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正</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其</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他</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结</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果</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尚</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未</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审</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结</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总</w:t>
            </w:r>
            <w:r>
              <w:rPr>
                <w:rFonts w:hint="eastAsia" w:ascii="宋体" w:hAnsi="宋体" w:eastAsia="宋体" w:cs="宋体"/>
                <w:kern w:val="2"/>
                <w:sz w:val="20"/>
                <w:szCs w:val="20"/>
                <w:lang w:val="en-US" w:eastAsia="zh-CN" w:bidi="ar-SA"/>
              </w:rPr>
              <w:br w:type="textWrapping"/>
            </w:r>
            <w:r>
              <w:rPr>
                <w:rFonts w:hint="eastAsia" w:ascii="宋体" w:hAnsi="宋体" w:eastAsia="宋体" w:cs="宋体"/>
                <w:kern w:val="2"/>
                <w:sz w:val="20"/>
                <w:szCs w:val="20"/>
                <w:lang w:val="en-US" w:eastAsia="zh-CN" w:bidi="ar-SA"/>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1</w:t>
            </w:r>
          </w:p>
        </w:tc>
      </w:tr>
    </w:tbl>
    <w:p>
      <w:pPr>
        <w:pStyle w:val="4"/>
        <w:keepNext w:val="0"/>
        <w:keepLines w:val="0"/>
        <w:pageBreakBefore w:val="0"/>
        <w:widowControl w:val="0"/>
        <w:numPr>
          <w:ilvl w:val="0"/>
          <w:numId w:val="0"/>
        </w:numPr>
        <w:kinsoku/>
        <w:wordWrap/>
        <w:overflowPunct/>
        <w:topLinePunct w:val="0"/>
        <w:bidi w:val="0"/>
        <w:adjustRightInd/>
        <w:snapToGrid/>
        <w:spacing w:line="600" w:lineRule="exact"/>
        <w:ind w:firstLine="640" w:firstLineChars="200"/>
        <w:contextualSpacing/>
        <w:textAlignment w:val="auto"/>
        <w:rPr>
          <w:rFonts w:hint="eastAsia" w:ascii="黑体" w:eastAsia="黑体"/>
          <w:color w:val="auto"/>
        </w:rPr>
      </w:pPr>
      <w:r>
        <w:rPr>
          <w:rFonts w:hint="eastAsia" w:ascii="黑体" w:eastAsia="黑体"/>
          <w:color w:val="auto"/>
          <w:lang w:val="en-US" w:eastAsia="zh-CN"/>
        </w:rPr>
        <w:t>五、</w:t>
      </w:r>
      <w:r>
        <w:rPr>
          <w:rFonts w:hint="eastAsia" w:ascii="黑体" w:eastAsia="黑体"/>
          <w:color w:val="auto"/>
        </w:rPr>
        <w:t>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cs="Times New Roman"/>
          <w:color w:val="auto"/>
          <w:sz w:val="32"/>
          <w:szCs w:val="32"/>
          <w:lang w:val="en-US" w:eastAsia="zh-CN"/>
        </w:rPr>
      </w:pPr>
      <w:r>
        <w:rPr>
          <w:rFonts w:hint="eastAsia" w:ascii="楷体" w:hAnsi="楷体" w:eastAsia="楷体" w:cs="楷体"/>
          <w:color w:val="auto"/>
          <w:kern w:val="0"/>
          <w:sz w:val="32"/>
          <w:szCs w:val="32"/>
          <w:lang w:val="en-US" w:eastAsia="zh-CN" w:bidi="zh-CN"/>
        </w:rPr>
        <w:t>（一）存在的问题。</w:t>
      </w:r>
      <w:r>
        <w:rPr>
          <w:rFonts w:hint="default" w:ascii="Times New Roman" w:hAnsi="Times New Roman" w:eastAsia="仿宋_GB2312" w:cs="Times New Roman"/>
          <w:color w:val="auto"/>
          <w:sz w:val="32"/>
          <w:szCs w:val="32"/>
          <w:lang w:val="en-US" w:eastAsia="zh-CN"/>
        </w:rPr>
        <w:t>202</w:t>
      </w:r>
      <w:r>
        <w:rPr>
          <w:rFonts w:hint="eastAsia" w:ascii="Times New Roman" w:hAnsi="Times New Roman"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年，全</w:t>
      </w:r>
      <w:r>
        <w:rPr>
          <w:rFonts w:hint="eastAsia" w:ascii="Times New Roman" w:hAnsi="Times New Roman" w:cs="Times New Roman"/>
          <w:color w:val="auto"/>
          <w:sz w:val="32"/>
          <w:szCs w:val="32"/>
          <w:lang w:val="en-US" w:eastAsia="zh-CN"/>
        </w:rPr>
        <w:t>区</w:t>
      </w:r>
      <w:r>
        <w:rPr>
          <w:rFonts w:hint="default" w:ascii="Times New Roman" w:hAnsi="Times New Roman" w:eastAsia="仿宋_GB2312" w:cs="Times New Roman"/>
          <w:color w:val="auto"/>
          <w:sz w:val="32"/>
          <w:szCs w:val="32"/>
          <w:lang w:val="en-US" w:eastAsia="zh-CN"/>
        </w:rPr>
        <w:t>政府信息公开工作取得了一定成效，但仍存在一些不足：一是主动公开内容有待进一步深化、细化；二是依申请公开规范化程度不够高</w:t>
      </w:r>
      <w:r>
        <w:rPr>
          <w:rFonts w:hint="eastAsia"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三是部分单位政务公开工作人员的公开意识和业务能力仍需提升</w:t>
      </w:r>
      <w:r>
        <w:rPr>
          <w:rFonts w:hint="default" w:ascii="Times New Roman" w:hAnsi="Times New Roman"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kern w:val="0"/>
          <w:sz w:val="32"/>
          <w:szCs w:val="32"/>
          <w:lang w:val="en-US" w:eastAsia="zh-CN"/>
        </w:rPr>
      </w:pPr>
      <w:r>
        <w:rPr>
          <w:rFonts w:hint="eastAsia" w:ascii="楷体" w:hAnsi="楷体" w:eastAsia="楷体" w:cs="楷体"/>
          <w:color w:val="auto"/>
          <w:kern w:val="0"/>
          <w:sz w:val="32"/>
          <w:szCs w:val="32"/>
          <w:lang w:val="en-US" w:eastAsia="zh-CN" w:bidi="zh-CN"/>
        </w:rPr>
        <w:t>（二）改进情况。</w:t>
      </w:r>
      <w:bookmarkStart w:id="0" w:name="_GoBack"/>
      <w:bookmarkEnd w:id="0"/>
      <w:r>
        <w:rPr>
          <w:rFonts w:hint="default" w:ascii="Times New Roman" w:hAnsi="Times New Roman" w:cs="Times New Roman"/>
          <w:color w:val="auto"/>
          <w:sz w:val="32"/>
          <w:szCs w:val="32"/>
          <w:lang w:val="en-US" w:eastAsia="zh-CN"/>
        </w:rPr>
        <w:t>针对上述问题，</w:t>
      </w:r>
      <w:r>
        <w:rPr>
          <w:rFonts w:hint="eastAsia" w:ascii="Times New Roman" w:hAnsi="Times New Roman" w:cs="Times New Roman"/>
          <w:color w:val="auto"/>
          <w:sz w:val="32"/>
          <w:szCs w:val="32"/>
          <w:lang w:val="en-US" w:eastAsia="zh-CN"/>
        </w:rPr>
        <w:t>在2024年呼兰区将</w:t>
      </w:r>
      <w:r>
        <w:rPr>
          <w:rFonts w:hint="default" w:ascii="Times New Roman" w:hAnsi="Times New Roman" w:eastAsia="仿宋_GB2312" w:cs="Times New Roman"/>
          <w:kern w:val="0"/>
          <w:sz w:val="32"/>
          <w:szCs w:val="32"/>
          <w:lang w:val="en-US" w:eastAsia="zh-CN"/>
        </w:rPr>
        <w:t>以持续健全强化各项工作机制为抓手，</w:t>
      </w:r>
      <w:r>
        <w:rPr>
          <w:rFonts w:hint="default" w:ascii="Times New Roman" w:hAnsi="Times New Roman" w:cs="Times New Roman"/>
          <w:kern w:val="0"/>
          <w:sz w:val="32"/>
          <w:szCs w:val="32"/>
          <w:lang w:val="en-US" w:eastAsia="zh-CN"/>
        </w:rPr>
        <w:t>推动</w:t>
      </w:r>
      <w:r>
        <w:rPr>
          <w:rFonts w:hint="default" w:ascii="Times New Roman" w:hAnsi="Times New Roman" w:eastAsia="仿宋_GB2312" w:cs="Times New Roman"/>
          <w:kern w:val="0"/>
          <w:sz w:val="32"/>
          <w:szCs w:val="32"/>
          <w:lang w:val="en-US" w:eastAsia="zh-CN"/>
        </w:rPr>
        <w:t>主动公开、依申请公开、政务公开</w:t>
      </w:r>
      <w:r>
        <w:rPr>
          <w:rFonts w:hint="default" w:ascii="Times New Roman" w:hAnsi="Times New Roman" w:cs="Times New Roman"/>
          <w:kern w:val="0"/>
          <w:sz w:val="32"/>
          <w:szCs w:val="32"/>
          <w:lang w:val="en-US" w:eastAsia="zh-CN"/>
        </w:rPr>
        <w:t>能力等方面提质增效</w:t>
      </w:r>
      <w:r>
        <w:rPr>
          <w:rFonts w:hint="default" w:ascii="Times New Roman" w:hAnsi="Times New Roman" w:eastAsia="仿宋_GB2312" w:cs="Times New Roman"/>
          <w:kern w:val="0"/>
          <w:sz w:val="32"/>
          <w:szCs w:val="32"/>
          <w:lang w:val="en-US" w:eastAsia="zh-CN"/>
        </w:rPr>
        <w:t>，全面提高政务公开质量和精细化水平，推动各项工作再上新台阶、再获新突破。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cs="Times New Roman"/>
          <w:sz w:val="32"/>
          <w:szCs w:val="32"/>
          <w:lang w:val="en-US" w:eastAsia="zh-CN"/>
        </w:rPr>
      </w:pPr>
      <w:r>
        <w:rPr>
          <w:rFonts w:hint="eastAsia" w:ascii="楷体" w:hAnsi="楷体" w:eastAsia="楷体" w:cs="楷体"/>
          <w:b w:val="0"/>
          <w:bCs w:val="0"/>
          <w:sz w:val="32"/>
          <w:szCs w:val="24"/>
          <w:lang w:val="en-US" w:eastAsia="zh-CN"/>
        </w:rPr>
        <w:t>聚焦公开重点，提升主动公开质量。</w:t>
      </w:r>
      <w:r>
        <w:rPr>
          <w:rFonts w:hint="default" w:ascii="Times New Roman" w:hAnsi="Times New Roman" w:eastAsia="仿宋_GB2312" w:cs="Times New Roman"/>
          <w:sz w:val="32"/>
          <w:szCs w:val="32"/>
          <w:lang w:val="en-US" w:eastAsia="zh-CN"/>
        </w:rPr>
        <w:t>常态化开展检查监测，</w:t>
      </w:r>
      <w:r>
        <w:rPr>
          <w:rFonts w:hint="default" w:ascii="Times New Roman" w:hAnsi="Times New Roman" w:cs="Times New Roman"/>
          <w:sz w:val="32"/>
          <w:szCs w:val="32"/>
          <w:lang w:val="en-US" w:eastAsia="zh-CN"/>
        </w:rPr>
        <w:t>定期核查政府网站</w:t>
      </w:r>
      <w:r>
        <w:rPr>
          <w:rFonts w:hint="default" w:ascii="Times New Roman" w:hAnsi="Times New Roman" w:eastAsia="仿宋_GB2312" w:cs="Times New Roman"/>
          <w:sz w:val="32"/>
          <w:szCs w:val="32"/>
          <w:lang w:val="en-US" w:eastAsia="zh-CN"/>
        </w:rPr>
        <w:t>重点领域</w:t>
      </w:r>
      <w:r>
        <w:rPr>
          <w:rFonts w:hint="default" w:ascii="Times New Roman" w:hAnsi="Times New Roman" w:cs="Times New Roman"/>
          <w:sz w:val="32"/>
          <w:szCs w:val="32"/>
          <w:lang w:val="en-US" w:eastAsia="zh-CN"/>
        </w:rPr>
        <w:t>、专题专栏和政务服务等模块更新情况</w:t>
      </w:r>
      <w:r>
        <w:rPr>
          <w:rFonts w:hint="default" w:ascii="Times New Roman" w:hAnsi="Times New Roman" w:eastAsia="仿宋_GB2312" w:cs="Times New Roman"/>
          <w:sz w:val="32"/>
          <w:szCs w:val="32"/>
          <w:lang w:val="en-US" w:eastAsia="zh-CN"/>
        </w:rPr>
        <w:t>，对所有公开发布的信息进行精准把脉、</w:t>
      </w:r>
      <w:r>
        <w:rPr>
          <w:rFonts w:hint="eastAsia" w:ascii="Times New Roman" w:hAnsi="Times New Roman" w:cs="Times New Roman"/>
          <w:sz w:val="32"/>
          <w:szCs w:val="32"/>
          <w:lang w:val="en-US" w:eastAsia="zh-CN"/>
        </w:rPr>
        <w:t>精准提升</w:t>
      </w:r>
      <w:r>
        <w:rPr>
          <w:rFonts w:hint="default" w:ascii="Times New Roman" w:hAnsi="Times New Roman"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仿宋_GB2312" w:cs="Times New Roman"/>
          <w:sz w:val="32"/>
          <w:szCs w:val="32"/>
          <w:lang w:val="en-US" w:eastAsia="zh-CN"/>
        </w:rPr>
      </w:pPr>
      <w:r>
        <w:rPr>
          <w:rFonts w:hint="default" w:ascii="楷体" w:hAnsi="楷体" w:eastAsia="楷体" w:cs="楷体"/>
          <w:b w:val="0"/>
          <w:bCs w:val="0"/>
          <w:sz w:val="32"/>
          <w:szCs w:val="24"/>
          <w:lang w:val="en-US" w:eastAsia="zh-CN"/>
        </w:rPr>
        <w:t>聚焦规范答复，提升依申请公开水平。</w:t>
      </w:r>
      <w:r>
        <w:rPr>
          <w:rFonts w:hint="eastAsia" w:ascii="Times New Roman" w:hAnsi="Times New Roman" w:cs="Times New Roman"/>
          <w:sz w:val="32"/>
          <w:szCs w:val="32"/>
          <w:lang w:val="en-US" w:eastAsia="zh-CN"/>
        </w:rPr>
        <w:t>持续</w:t>
      </w:r>
      <w:r>
        <w:rPr>
          <w:rFonts w:hint="default" w:ascii="Times New Roman" w:hAnsi="Times New Roman" w:eastAsia="仿宋_GB2312" w:cs="Times New Roman"/>
          <w:sz w:val="32"/>
          <w:szCs w:val="32"/>
          <w:lang w:val="en-US" w:eastAsia="zh-CN"/>
        </w:rPr>
        <w:t>狠抓依申请公开办理，</w:t>
      </w:r>
      <w:r>
        <w:rPr>
          <w:rFonts w:hint="default" w:ascii="Times New Roman" w:hAnsi="Times New Roman" w:eastAsia="仿宋_GB2312" w:cs="Times New Roman"/>
          <w:color w:val="auto"/>
          <w:sz w:val="32"/>
          <w:szCs w:val="32"/>
          <w:lang w:val="en-US" w:eastAsia="zh-CN"/>
        </w:rPr>
        <w:t>强化疑难件办</w:t>
      </w:r>
      <w:r>
        <w:rPr>
          <w:rFonts w:hint="default" w:ascii="Times New Roman" w:hAnsi="Times New Roman" w:eastAsia="仿宋_GB2312" w:cs="Times New Roman"/>
          <w:sz w:val="32"/>
          <w:szCs w:val="32"/>
          <w:lang w:val="en-US" w:eastAsia="zh-CN"/>
        </w:rPr>
        <w:t>理机制，采取内部讨论、集体会商等方式研究答复意见，确保答复信息与申请事项精准匹配</w:t>
      </w:r>
      <w:r>
        <w:rPr>
          <w:rFonts w:hint="eastAsia" w:ascii="Times New Roman" w:hAnsi="Times New Roman" w:cs="Times New Roman"/>
          <w:sz w:val="32"/>
          <w:szCs w:val="32"/>
          <w:lang w:val="en-US" w:eastAsia="zh-CN"/>
        </w:rPr>
        <w:t>，推动</w:t>
      </w:r>
      <w:r>
        <w:rPr>
          <w:rFonts w:hint="default" w:ascii="Times New Roman" w:hAnsi="Times New Roman" w:cs="Times New Roman"/>
          <w:sz w:val="32"/>
          <w:szCs w:val="32"/>
          <w:lang w:val="en-US" w:eastAsia="zh-CN"/>
        </w:rPr>
        <w:t>案件</w:t>
      </w:r>
      <w:r>
        <w:rPr>
          <w:rFonts w:hint="eastAsia" w:ascii="Times New Roman" w:hAnsi="Times New Roman" w:cs="Times New Roman"/>
          <w:sz w:val="32"/>
          <w:szCs w:val="32"/>
          <w:lang w:val="en-US" w:eastAsia="zh-CN"/>
        </w:rPr>
        <w:t>依法依规</w:t>
      </w:r>
      <w:r>
        <w:rPr>
          <w:rFonts w:hint="default" w:ascii="Times New Roman" w:hAnsi="Times New Roman" w:cs="Times New Roman"/>
          <w:sz w:val="32"/>
          <w:szCs w:val="32"/>
          <w:lang w:val="en-US" w:eastAsia="zh-CN"/>
        </w:rPr>
        <w:t>答复</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楷体" w:hAnsi="楷体" w:eastAsia="楷体" w:cs="楷体"/>
          <w:b w:val="0"/>
          <w:bCs w:val="0"/>
          <w:sz w:val="32"/>
          <w:szCs w:val="24"/>
          <w:lang w:val="en-US" w:eastAsia="zh-CN"/>
        </w:rPr>
        <w:t>聚焦能力提升，加强政务公开队伍建设。</w:t>
      </w:r>
      <w:r>
        <w:rPr>
          <w:rFonts w:hint="default" w:ascii="Times New Roman" w:hAnsi="Times New Roman" w:eastAsia="仿宋_GB2312" w:cs="Times New Roman"/>
          <w:sz w:val="32"/>
          <w:szCs w:val="32"/>
          <w:highlight w:val="none"/>
          <w:lang w:val="en-US" w:eastAsia="zh-CN"/>
        </w:rPr>
        <w:t>通过授课、</w:t>
      </w:r>
      <w:r>
        <w:rPr>
          <w:rFonts w:hint="default" w:ascii="Times New Roman" w:hAnsi="Times New Roman" w:cs="Times New Roman"/>
          <w:sz w:val="32"/>
          <w:szCs w:val="32"/>
          <w:highlight w:val="none"/>
          <w:lang w:val="en-US" w:eastAsia="zh-CN"/>
        </w:rPr>
        <w:t>业务专题培训</w:t>
      </w:r>
      <w:r>
        <w:rPr>
          <w:rFonts w:hint="default" w:ascii="Times New Roman" w:hAnsi="Times New Roman" w:eastAsia="仿宋_GB2312" w:cs="Times New Roman"/>
          <w:sz w:val="32"/>
          <w:szCs w:val="32"/>
          <w:highlight w:val="none"/>
          <w:lang w:val="en-US" w:eastAsia="zh-CN"/>
        </w:rPr>
        <w:t>等方式，系统学习公开条例、依申请公开受理答复等内容。特别针对依申请公开，结合日常工作开展情况，定期召开小范围专题调度会、</w:t>
      </w:r>
      <w:r>
        <w:rPr>
          <w:rFonts w:hint="eastAsia" w:ascii="Times New Roman" w:hAnsi="Times New Roman" w:cs="Times New Roman"/>
          <w:sz w:val="32"/>
          <w:szCs w:val="32"/>
          <w:highlight w:val="none"/>
          <w:lang w:val="en-US" w:eastAsia="zh-CN"/>
        </w:rPr>
        <w:t>定向</w:t>
      </w:r>
      <w:r>
        <w:rPr>
          <w:rFonts w:hint="default" w:ascii="Times New Roman" w:hAnsi="Times New Roman" w:eastAsia="仿宋_GB2312" w:cs="Times New Roman"/>
          <w:sz w:val="32"/>
          <w:szCs w:val="32"/>
          <w:highlight w:val="none"/>
          <w:lang w:val="en-US" w:eastAsia="zh-CN"/>
        </w:rPr>
        <w:t>培训会，对存在的共性、特性问题进行深入讲解分析，</w:t>
      </w:r>
      <w:r>
        <w:rPr>
          <w:rFonts w:hint="eastAsia"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一对一、手把手</w:t>
      </w:r>
      <w:r>
        <w:rPr>
          <w:rFonts w:hint="eastAsia"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提高全</w:t>
      </w:r>
      <w:r>
        <w:rPr>
          <w:rFonts w:hint="eastAsia" w:ascii="Times New Roman" w:hAnsi="Times New Roman" w:cs="Times New Roman"/>
          <w:sz w:val="32"/>
          <w:szCs w:val="32"/>
          <w:highlight w:val="none"/>
          <w:lang w:val="en-US" w:eastAsia="zh-CN"/>
        </w:rPr>
        <w:t>区</w:t>
      </w:r>
      <w:r>
        <w:rPr>
          <w:rFonts w:hint="default" w:ascii="Times New Roman" w:hAnsi="Times New Roman" w:eastAsia="仿宋_GB2312" w:cs="Times New Roman"/>
          <w:sz w:val="32"/>
          <w:szCs w:val="32"/>
          <w:highlight w:val="none"/>
          <w:lang w:val="en-US" w:eastAsia="zh-CN"/>
        </w:rPr>
        <w:t>政务公开业务能力。</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黑体" w:hAnsi="仿宋_GB2312" w:eastAsia="黑体" w:cs="仿宋_GB2312"/>
          <w:color w:val="auto"/>
          <w:sz w:val="32"/>
          <w:szCs w:val="32"/>
          <w:lang w:val="zh-CN" w:eastAsia="zh-CN" w:bidi="zh-CN"/>
        </w:rPr>
      </w:pPr>
      <w:r>
        <w:rPr>
          <w:rFonts w:hint="eastAsia" w:ascii="黑体" w:hAnsi="仿宋_GB2312" w:eastAsia="黑体" w:cs="仿宋_GB2312"/>
          <w:color w:val="auto"/>
          <w:sz w:val="32"/>
          <w:szCs w:val="32"/>
          <w:lang w:val="zh-CN" w:eastAsia="zh-CN" w:bidi="zh-CN"/>
        </w:rPr>
        <w:t>六、其他需要报告的事项</w:t>
      </w:r>
    </w:p>
    <w:p>
      <w:pPr>
        <w:pStyle w:val="4"/>
        <w:keepNext w:val="0"/>
        <w:keepLines w:val="0"/>
        <w:pageBreakBefore w:val="0"/>
        <w:widowControl w:val="0"/>
        <w:kinsoku/>
        <w:wordWrap/>
        <w:overflowPunct/>
        <w:topLinePunct w:val="0"/>
        <w:bidi w:val="0"/>
        <w:adjustRightInd/>
        <w:snapToGrid/>
        <w:spacing w:line="600" w:lineRule="exact"/>
        <w:ind w:left="0" w:firstLine="640" w:firstLineChars="200"/>
        <w:contextualSpacing/>
        <w:textAlignment w:val="auto"/>
        <w:rPr>
          <w:rFonts w:hint="eastAsia" w:ascii="Times New Roman" w:hAnsi="Times New Roman" w:eastAsia="仿宋_GB2312" w:cs="Times New Roman"/>
          <w:sz w:val="32"/>
          <w:szCs w:val="32"/>
          <w:highlight w:val="none"/>
          <w:lang w:val="en-US" w:eastAsia="zh-CN" w:bidi="zh-CN"/>
        </w:rPr>
      </w:pPr>
      <w:r>
        <w:rPr>
          <w:rFonts w:hint="eastAsia" w:ascii="Times New Roman" w:hAnsi="Times New Roman" w:eastAsia="仿宋_GB2312" w:cs="Times New Roman"/>
          <w:sz w:val="32"/>
          <w:szCs w:val="32"/>
          <w:highlight w:val="none"/>
          <w:lang w:val="en-US" w:eastAsia="zh-CN" w:bidi="zh-CN"/>
        </w:rPr>
        <w:t>未涉及《政府信息公开信息处理费管理办法》中规定的收取信息处理费情况。</w:t>
      </w:r>
    </w:p>
    <w:sectPr>
      <w:footerReference r:id="rId3" w:type="default"/>
      <w:pgSz w:w="11910" w:h="16840"/>
      <w:pgMar w:top="2098" w:right="1474" w:bottom="1985" w:left="1588" w:header="0" w:footer="919"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4C7688D-5D86-4B42-8359-70B90BC66FA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20172040-E52C-4172-BF85-15F9C8B1FEF6}"/>
  </w:font>
  <w:font w:name="方正小标宋_GBK">
    <w:panose1 w:val="02000000000000000000"/>
    <w:charset w:val="86"/>
    <w:family w:val="auto"/>
    <w:pitch w:val="default"/>
    <w:sig w:usb0="A00002BF" w:usb1="38CF7CFA" w:usb2="00082016" w:usb3="00000000" w:csb0="00040001" w:csb1="00000000"/>
    <w:embedRegular r:id="rId3" w:fontKey="{01A2BF16-F862-4758-B682-14C4A5BC1B07}"/>
  </w:font>
  <w:font w:name="方正仿宋_GB2312">
    <w:panose1 w:val="02000000000000000000"/>
    <w:charset w:val="86"/>
    <w:family w:val="auto"/>
    <w:pitch w:val="default"/>
    <w:sig w:usb0="A00002BF" w:usb1="184F6CFA" w:usb2="00000012" w:usb3="00000000" w:csb0="00040001" w:csb1="00000000"/>
    <w:embedRegular r:id="rId4" w:fontKey="{4EFFD0E8-F610-4DCA-A5BC-D0F5C2302B1D}"/>
  </w:font>
  <w:font w:name="楷体">
    <w:panose1 w:val="02010609060101010101"/>
    <w:charset w:val="86"/>
    <w:family w:val="modern"/>
    <w:pitch w:val="default"/>
    <w:sig w:usb0="800002BF" w:usb1="38CF7CFA" w:usb2="00000016" w:usb3="00000000" w:csb0="00040001" w:csb1="00000000"/>
    <w:embedRegular r:id="rId5" w:fontKey="{14048B25-89CE-49E3-A48B-352637021016}"/>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12"/>
      </w:rPr>
    </w:pPr>
    <w:r>
      <mc:AlternateContent>
        <mc:Choice Requires="wps">
          <w:drawing>
            <wp:anchor distT="0" distB="0" distL="114300" distR="114300" simplePos="0" relativeHeight="251659264" behindDoc="1" locked="0" layoutInCell="1" allowOverlap="1">
              <wp:simplePos x="0" y="0"/>
              <wp:positionH relativeFrom="page">
                <wp:posOffset>3725545</wp:posOffset>
              </wp:positionH>
              <wp:positionV relativeFrom="page">
                <wp:posOffset>9919970</wp:posOffset>
              </wp:positionV>
              <wp:extent cx="107950" cy="152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a:effectLst/>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7</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3.35pt;margin-top:781.1pt;height:12pt;width:8.5pt;mso-position-horizontal-relative:page;mso-position-vertical-relative:page;z-index:-251657216;mso-width-relative:page;mso-height-relative:page;" filled="f" stroked="f" coordsize="21600,21600" o:gfxdata="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adZ8D2QAAAA0BAAAPAAAAAAAAAAEAIAAAACIAAABkcnMvZG93bnJldi54bWxQ&#10;SwECFAAUAAAACACHTuJAjE+Vor0BAAB/AwAADgAAAAAAAAABACAAAAAoAQAAZHJzL2Uyb0RvYy54&#10;bWxQSwUGAAAAAAYABgBZAQAAVwU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876E08"/>
    <w:multiLevelType w:val="singleLevel"/>
    <w:tmpl w:val="AA876E08"/>
    <w:lvl w:ilvl="0" w:tentative="0">
      <w:start w:val="1"/>
      <w:numFmt w:val="chineseCounting"/>
      <w:suff w:val="nothing"/>
      <w:lvlText w:val="%1、"/>
      <w:lvlJc w:val="left"/>
      <w:rPr>
        <w:rFonts w:hint="eastAsia"/>
      </w:rPr>
    </w:lvl>
  </w:abstractNum>
  <w:abstractNum w:abstractNumId="1">
    <w:nsid w:val="4884C901"/>
    <w:multiLevelType w:val="singleLevel"/>
    <w:tmpl w:val="4884C901"/>
    <w:lvl w:ilvl="0" w:tentative="0">
      <w:start w:val="3"/>
      <w:numFmt w:val="chineseCounting"/>
      <w:suff w:val="nothing"/>
      <w:lvlText w:val="（%1）"/>
      <w:lvlJc w:val="left"/>
      <w:pPr>
        <w:ind w:left="-3"/>
      </w:pPr>
      <w:rPr>
        <w:rFonts w:hint="eastAsia" w:ascii="楷体_GB2312" w:hAnsi="楷体_GB2312" w:eastAsia="楷体_GB2312" w:cs="楷体_GB2312"/>
        <w:b w:val="0"/>
        <w:bCs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kODAwODA4ODkyODA5MGU5ZWFmZjY3NmE2YzE5MWEifQ=="/>
  </w:docVars>
  <w:rsids>
    <w:rsidRoot w:val="0019065B"/>
    <w:rsid w:val="000556D2"/>
    <w:rsid w:val="0007013A"/>
    <w:rsid w:val="000D474A"/>
    <w:rsid w:val="00102C9B"/>
    <w:rsid w:val="0019065B"/>
    <w:rsid w:val="001C40F9"/>
    <w:rsid w:val="00245004"/>
    <w:rsid w:val="002B0EF0"/>
    <w:rsid w:val="00312952"/>
    <w:rsid w:val="00441E24"/>
    <w:rsid w:val="004A2774"/>
    <w:rsid w:val="004A4CE5"/>
    <w:rsid w:val="004B2D2E"/>
    <w:rsid w:val="00526E42"/>
    <w:rsid w:val="005A54C8"/>
    <w:rsid w:val="008150AC"/>
    <w:rsid w:val="008C2FB2"/>
    <w:rsid w:val="0094261F"/>
    <w:rsid w:val="00966B0B"/>
    <w:rsid w:val="00A62EFB"/>
    <w:rsid w:val="00AC7FED"/>
    <w:rsid w:val="00B81490"/>
    <w:rsid w:val="00B94522"/>
    <w:rsid w:val="00BC2D9B"/>
    <w:rsid w:val="00C44037"/>
    <w:rsid w:val="00CB11E2"/>
    <w:rsid w:val="00D147F6"/>
    <w:rsid w:val="00D20BC9"/>
    <w:rsid w:val="00D722B3"/>
    <w:rsid w:val="00D72AD5"/>
    <w:rsid w:val="00D80DC8"/>
    <w:rsid w:val="00DB389F"/>
    <w:rsid w:val="00E33F24"/>
    <w:rsid w:val="00EC4795"/>
    <w:rsid w:val="00FA10CE"/>
    <w:rsid w:val="035B108E"/>
    <w:rsid w:val="0C7B34A5"/>
    <w:rsid w:val="0E1A6554"/>
    <w:rsid w:val="102962AF"/>
    <w:rsid w:val="10BD622A"/>
    <w:rsid w:val="138F4274"/>
    <w:rsid w:val="13D44D65"/>
    <w:rsid w:val="14CC2806"/>
    <w:rsid w:val="1E4F00EC"/>
    <w:rsid w:val="23C41892"/>
    <w:rsid w:val="254155A8"/>
    <w:rsid w:val="27427F2B"/>
    <w:rsid w:val="29FF28F1"/>
    <w:rsid w:val="2A32682B"/>
    <w:rsid w:val="2A424F5A"/>
    <w:rsid w:val="2AF95FAD"/>
    <w:rsid w:val="2B170E49"/>
    <w:rsid w:val="2D6B0AEA"/>
    <w:rsid w:val="32912241"/>
    <w:rsid w:val="3357225D"/>
    <w:rsid w:val="353E4B1C"/>
    <w:rsid w:val="357A11D7"/>
    <w:rsid w:val="3830186F"/>
    <w:rsid w:val="3A5D4951"/>
    <w:rsid w:val="44C57838"/>
    <w:rsid w:val="469661DA"/>
    <w:rsid w:val="4B835A9B"/>
    <w:rsid w:val="4C241E79"/>
    <w:rsid w:val="5506368B"/>
    <w:rsid w:val="558A29C8"/>
    <w:rsid w:val="57A927BC"/>
    <w:rsid w:val="58714725"/>
    <w:rsid w:val="5E700F05"/>
    <w:rsid w:val="61046F4E"/>
    <w:rsid w:val="6604286E"/>
    <w:rsid w:val="6DD20E03"/>
    <w:rsid w:val="6E11295C"/>
    <w:rsid w:val="721C49C0"/>
    <w:rsid w:val="72517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仿宋_GB2312" w:hAnsi="仿宋_GB2312" w:eastAsia="仿宋_GB2312" w:cs="仿宋_GB2312"/>
      <w:sz w:val="22"/>
      <w:szCs w:val="22"/>
      <w:lang w:val="zh-CN" w:eastAsia="zh-CN" w:bidi="zh-CN"/>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autoRedefine/>
    <w:qFormat/>
    <w:uiPriority w:val="0"/>
    <w:pPr>
      <w:widowControl w:val="0"/>
      <w:spacing w:after="120"/>
      <w:ind w:firstLine="420" w:firstLineChars="100"/>
      <w:jc w:val="both"/>
    </w:pPr>
    <w:rPr>
      <w:rFonts w:ascii="Times New Roman" w:hAnsi="Times New Roman" w:eastAsia="宋体" w:cs="Times New Roman"/>
      <w:kern w:val="2"/>
      <w:lang w:val="en-US" w:eastAsia="zh-CN" w:bidi="ar-SA"/>
    </w:rPr>
  </w:style>
  <w:style w:type="paragraph" w:styleId="4">
    <w:name w:val="Body Text"/>
    <w:basedOn w:val="1"/>
    <w:autoRedefine/>
    <w:qFormat/>
    <w:uiPriority w:val="1"/>
    <w:pPr>
      <w:ind w:left="287"/>
    </w:pPr>
    <w:rPr>
      <w:sz w:val="32"/>
      <w:szCs w:val="32"/>
    </w:rPr>
  </w:style>
  <w:style w:type="paragraph" w:styleId="5">
    <w:name w:val="Body Text Indent"/>
    <w:basedOn w:val="1"/>
    <w:autoRedefine/>
    <w:unhideWhenUsed/>
    <w:qFormat/>
    <w:uiPriority w:val="99"/>
    <w:pPr>
      <w:spacing w:after="120"/>
      <w:ind w:left="420" w:leftChars="200"/>
    </w:pPr>
    <w:rPr>
      <w:rFonts w:hint="default"/>
      <w:sz w:val="21"/>
    </w:rPr>
  </w:style>
  <w:style w:type="paragraph" w:styleId="6">
    <w:name w:val="footer"/>
    <w:basedOn w:val="1"/>
    <w:link w:val="19"/>
    <w:autoRedefine/>
    <w:qFormat/>
    <w:uiPriority w:val="0"/>
    <w:pPr>
      <w:tabs>
        <w:tab w:val="center" w:pos="4153"/>
        <w:tab w:val="right" w:pos="8306"/>
      </w:tabs>
      <w:snapToGrid w:val="0"/>
    </w:pPr>
    <w:rPr>
      <w:sz w:val="18"/>
      <w:szCs w:val="18"/>
    </w:rPr>
  </w:style>
  <w:style w:type="paragraph" w:styleId="7">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unhideWhenUsed/>
    <w:qFormat/>
    <w:uiPriority w:val="0"/>
    <w:pPr>
      <w:widowControl w:val="0"/>
      <w:jc w:val="both"/>
    </w:pPr>
    <w:rPr>
      <w:rFonts w:ascii="Calibri" w:hAnsi="Calibri" w:eastAsia="宋体" w:cs="Times New Roman"/>
      <w:kern w:val="2"/>
      <w:sz w:val="21"/>
      <w:szCs w:val="24"/>
      <w:lang w:val="en-US" w:eastAsia="zh-CN" w:bidi="ar-SA"/>
    </w:rPr>
  </w:style>
  <w:style w:type="paragraph" w:styleId="9">
    <w:name w:val="Normal (Web)"/>
    <w:basedOn w:val="1"/>
    <w:autoRedefine/>
    <w:qFormat/>
    <w:uiPriority w:val="0"/>
    <w:pPr>
      <w:autoSpaceDE/>
      <w:autoSpaceDN/>
      <w:spacing w:beforeAutospacing="1" w:afterAutospacing="1"/>
    </w:pPr>
    <w:rPr>
      <w:rFonts w:cs="Times New Roman" w:asciiTheme="minorHAnsi" w:hAnsiTheme="minorHAnsi" w:eastAsiaTheme="minorEastAsia"/>
      <w:sz w:val="24"/>
      <w:szCs w:val="24"/>
      <w:lang w:val="en-US" w:bidi="ar-SA"/>
    </w:rPr>
  </w:style>
  <w:style w:type="paragraph" w:styleId="10">
    <w:name w:val="Body Text First Indent 2"/>
    <w:basedOn w:val="5"/>
    <w:autoRedefine/>
    <w:unhideWhenUsed/>
    <w:qFormat/>
    <w:uiPriority w:val="99"/>
    <w:pPr>
      <w:spacing w:after="0" w:line="300" w:lineRule="auto"/>
      <w:ind w:left="0" w:leftChars="0"/>
    </w:pPr>
    <w:rPr>
      <w:rFonts w:hint="default" w:ascii="Calibri" w:hAnsi="Calibri"/>
      <w:i/>
      <w:sz w:val="21"/>
    </w:rPr>
  </w:style>
  <w:style w:type="character" w:styleId="13">
    <w:name w:val="Hyperlink"/>
    <w:basedOn w:val="12"/>
    <w:autoRedefine/>
    <w:qFormat/>
    <w:uiPriority w:val="0"/>
    <w:rPr>
      <w:color w:val="0000FF" w:themeColor="hyperlink"/>
      <w:u w:val="single"/>
      <w14:textFill>
        <w14:solidFill>
          <w14:schemeClr w14:val="hlink"/>
        </w14:solidFill>
      </w14:textFill>
    </w:rPr>
  </w:style>
  <w:style w:type="table" w:customStyle="1" w:styleId="14">
    <w:name w:val="Table Normal"/>
    <w:autoRedefine/>
    <w:semiHidden/>
    <w:unhideWhenUsed/>
    <w:qFormat/>
    <w:uiPriority w:val="2"/>
    <w:tblPr>
      <w:tblCellMar>
        <w:top w:w="0" w:type="dxa"/>
        <w:left w:w="0" w:type="dxa"/>
        <w:bottom w:w="0" w:type="dxa"/>
        <w:right w:w="0" w:type="dxa"/>
      </w:tblCellMar>
    </w:tblPr>
  </w:style>
  <w:style w:type="paragraph" w:styleId="15">
    <w:name w:val="List Paragraph"/>
    <w:basedOn w:val="1"/>
    <w:autoRedefine/>
    <w:qFormat/>
    <w:uiPriority w:val="1"/>
  </w:style>
  <w:style w:type="paragraph" w:customStyle="1" w:styleId="16">
    <w:name w:val="Table Paragraph"/>
    <w:basedOn w:val="1"/>
    <w:autoRedefine/>
    <w:qFormat/>
    <w:uiPriority w:val="1"/>
    <w:rPr>
      <w:rFonts w:ascii="宋体" w:hAnsi="宋体" w:eastAsia="宋体" w:cs="宋体"/>
    </w:rPr>
  </w:style>
  <w:style w:type="paragraph" w:customStyle="1" w:styleId="17">
    <w:name w:val="p"/>
    <w:basedOn w:val="1"/>
    <w:autoRedefine/>
    <w:qFormat/>
    <w:uiPriority w:val="0"/>
    <w:pPr>
      <w:widowControl/>
      <w:spacing w:before="100" w:beforeAutospacing="1" w:after="100" w:afterAutospacing="1"/>
    </w:pPr>
    <w:rPr>
      <w:rFonts w:ascii="宋体" w:hAnsi="宋体" w:cs="宋体"/>
      <w:sz w:val="24"/>
    </w:rPr>
  </w:style>
  <w:style w:type="character" w:customStyle="1" w:styleId="18">
    <w:name w:val="页眉 Char"/>
    <w:basedOn w:val="12"/>
    <w:link w:val="7"/>
    <w:autoRedefine/>
    <w:qFormat/>
    <w:uiPriority w:val="0"/>
    <w:rPr>
      <w:rFonts w:ascii="仿宋_GB2312" w:hAnsi="仿宋_GB2312" w:eastAsia="仿宋_GB2312" w:cs="仿宋_GB2312"/>
      <w:sz w:val="18"/>
      <w:szCs w:val="18"/>
      <w:lang w:val="zh-CN" w:bidi="zh-CN"/>
    </w:rPr>
  </w:style>
  <w:style w:type="character" w:customStyle="1" w:styleId="19">
    <w:name w:val="页脚 Char"/>
    <w:basedOn w:val="12"/>
    <w:link w:val="6"/>
    <w:autoRedefine/>
    <w:qFormat/>
    <w:uiPriority w:val="0"/>
    <w:rPr>
      <w:rFonts w:ascii="仿宋_GB2312" w:hAnsi="仿宋_GB2312" w:eastAsia="仿宋_GB2312" w:cs="仿宋_GB2312"/>
      <w:sz w:val="18"/>
      <w:szCs w:val="18"/>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83F72E-38CC-404D-8243-42DADC937615}">
  <ds:schemaRefs/>
</ds:datastoreItem>
</file>

<file path=docProps/app.xml><?xml version="1.0" encoding="utf-8"?>
<Properties xmlns="http://schemas.openxmlformats.org/officeDocument/2006/extended-properties" xmlns:vt="http://schemas.openxmlformats.org/officeDocument/2006/docPropsVTypes">
  <Template>Normal</Template>
  <Pages>6</Pages>
  <Words>2197</Words>
  <Characters>2306</Characters>
  <Lines>20</Lines>
  <Paragraphs>5</Paragraphs>
  <TotalTime>41</TotalTime>
  <ScaleCrop>false</ScaleCrop>
  <LinksUpToDate>false</LinksUpToDate>
  <CharactersWithSpaces>2311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2021-01-08T05:52:00Z</dcterms:created>
  <dc:creator>WIN7</dc:creator>
  <cp:lastModifiedBy>Fickle.</cp:lastModifiedBy>
  <dcterms:modified xsi:type="dcterms:W3CDTF">2024-02-07T11:55:48Z</dcterms:modified>
  <dc:title>&lt;4D6963726F736F667420576F7264202D20C4FEB2A8CAD0BDADB1B1C7F8C8CBC3F1D5FEB8AE32303139C4EAD5FECEF1B9ABBFAAB9A4D7F7C4EAB6C8B1A8B8E62E646F6378&gt;</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2020-03-09T00:00:00Z</vt:filetime>
  </property>
  <property fmtid="{D5CDD505-2E9C-101B-9397-08002B2CF9AE}" pid="3" name="Creator">
    <vt:lpwstr>PScript5.dll Version 5.2.2</vt:lpwstr>
  </property>
  <property fmtid="{D5CDD505-2E9C-101B-9397-08002B2CF9AE}" pid="4" name="LastSaved">
    <vt:filetime>2021-01-08T00:00:00Z</vt:filetime>
  </property>
  <property fmtid="{D5CDD505-2E9C-101B-9397-08002B2CF9AE}" pid="5" name="KSOProductBuildVer">
    <vt:lpwstr>2052-12.1.0.16250</vt:lpwstr>
  </property>
  <property fmtid="{D5CDD505-2E9C-101B-9397-08002B2CF9AE}" pid="6" name="ICV">
    <vt:lpwstr>9A303F00086945CFA48D848917759B70_13</vt:lpwstr>
  </property>
</Properties>
</file>